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0"/>
          <w:szCs w:val="40"/>
          <w:lang w:eastAsia="zh-CN"/>
        </w:rPr>
      </w:pPr>
    </w:p>
    <w:p>
      <w:pPr>
        <w:jc w:val="center"/>
        <w:rPr>
          <w:rFonts w:ascii="宋体" w:hAnsi="宋体"/>
          <w:sz w:val="32"/>
          <w:szCs w:val="32"/>
        </w:rPr>
      </w:pPr>
      <w:r>
        <w:rPr>
          <w:rFonts w:hint="eastAsia" w:ascii="宋体" w:hAnsi="宋体"/>
          <w:b/>
          <w:sz w:val="40"/>
          <w:szCs w:val="40"/>
          <w:lang w:eastAsia="zh-CN"/>
        </w:rPr>
        <w:t>霍山县衡山镇城关中心学校消防维修工程</w:t>
      </w:r>
    </w:p>
    <w:p>
      <w:pPr>
        <w:pStyle w:val="30"/>
      </w:pPr>
    </w:p>
    <w:p>
      <w:pPr>
        <w:pStyle w:val="30"/>
      </w:pPr>
    </w:p>
    <w:p>
      <w:pPr>
        <w:jc w:val="center"/>
        <w:outlineLvl w:val="0"/>
        <w:rPr>
          <w:rFonts w:ascii="宋体" w:hAnsi="宋体"/>
          <w:b/>
          <w:sz w:val="52"/>
          <w:szCs w:val="52"/>
        </w:rPr>
      </w:pPr>
      <w:bookmarkStart w:id="0" w:name="_Toc23338"/>
      <w:bookmarkStart w:id="1" w:name="_Toc8061"/>
      <w:bookmarkStart w:id="2" w:name="_Toc21224"/>
      <w:r>
        <w:rPr>
          <w:rFonts w:hint="eastAsia" w:ascii="宋体" w:hAnsi="宋体"/>
          <w:b/>
          <w:sz w:val="52"/>
          <w:szCs w:val="52"/>
        </w:rPr>
        <w:t>谈</w:t>
      </w:r>
      <w:bookmarkEnd w:id="0"/>
      <w:bookmarkEnd w:id="1"/>
      <w:bookmarkEnd w:id="2"/>
    </w:p>
    <w:p>
      <w:pPr>
        <w:jc w:val="center"/>
        <w:outlineLvl w:val="0"/>
        <w:rPr>
          <w:rFonts w:ascii="宋体" w:hAnsi="宋体"/>
          <w:b/>
          <w:sz w:val="52"/>
          <w:szCs w:val="52"/>
        </w:rPr>
      </w:pPr>
      <w:bookmarkStart w:id="3" w:name="_Toc25097"/>
      <w:bookmarkStart w:id="4" w:name="_Toc6386"/>
      <w:bookmarkStart w:id="5" w:name="_Toc28379"/>
      <w:r>
        <w:rPr>
          <w:rFonts w:hint="eastAsia" w:ascii="宋体" w:hAnsi="宋体"/>
          <w:b/>
          <w:sz w:val="52"/>
          <w:szCs w:val="52"/>
        </w:rPr>
        <w:t>判</w:t>
      </w:r>
      <w:bookmarkEnd w:id="3"/>
      <w:bookmarkEnd w:id="4"/>
      <w:bookmarkEnd w:id="5"/>
    </w:p>
    <w:p>
      <w:pPr>
        <w:jc w:val="center"/>
        <w:outlineLvl w:val="0"/>
        <w:rPr>
          <w:rFonts w:ascii="宋体" w:hAnsi="宋体"/>
          <w:b/>
          <w:sz w:val="52"/>
          <w:szCs w:val="52"/>
        </w:rPr>
      </w:pPr>
      <w:bookmarkStart w:id="6" w:name="_Toc2046"/>
      <w:bookmarkStart w:id="7" w:name="_Toc6500"/>
      <w:bookmarkStart w:id="8" w:name="_Toc28916"/>
      <w:r>
        <w:rPr>
          <w:rFonts w:hint="eastAsia" w:ascii="宋体" w:hAnsi="宋体"/>
          <w:b/>
          <w:sz w:val="52"/>
          <w:szCs w:val="52"/>
        </w:rPr>
        <w:t>文</w:t>
      </w:r>
      <w:bookmarkEnd w:id="6"/>
      <w:bookmarkEnd w:id="7"/>
      <w:bookmarkEnd w:id="8"/>
    </w:p>
    <w:p>
      <w:pPr>
        <w:jc w:val="center"/>
        <w:outlineLvl w:val="0"/>
        <w:rPr>
          <w:rFonts w:ascii="宋体" w:hAnsi="宋体"/>
          <w:b/>
          <w:sz w:val="52"/>
          <w:szCs w:val="52"/>
        </w:rPr>
      </w:pPr>
      <w:bookmarkStart w:id="9" w:name="_Toc11983"/>
      <w:bookmarkStart w:id="10" w:name="_Toc19808"/>
      <w:bookmarkStart w:id="11" w:name="_Toc31225"/>
      <w:r>
        <w:rPr>
          <w:rFonts w:hint="eastAsia" w:ascii="宋体" w:hAnsi="宋体"/>
          <w:b/>
          <w:sz w:val="52"/>
          <w:szCs w:val="52"/>
        </w:rPr>
        <w:t>件</w:t>
      </w:r>
      <w:bookmarkEnd w:id="9"/>
      <w:bookmarkEnd w:id="10"/>
      <w:bookmarkEnd w:id="11"/>
    </w:p>
    <w:p>
      <w:pPr>
        <w:spacing w:line="400" w:lineRule="exact"/>
        <w:rPr>
          <w:rFonts w:ascii="宋体" w:hAnsi="宋体"/>
        </w:rPr>
      </w:pPr>
    </w:p>
    <w:p>
      <w:pPr>
        <w:pStyle w:val="3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val="en-US" w:eastAsia="zh-CN"/>
        </w:rPr>
      </w:pPr>
    </w:p>
    <w:p>
      <w:pPr>
        <w:spacing w:line="360" w:lineRule="auto"/>
        <w:ind w:firstLine="1606" w:firstLineChars="500"/>
        <w:jc w:val="both"/>
        <w:rPr>
          <w:rFonts w:hint="eastAsia" w:ascii="宋体" w:hAnsi="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霍山县衡山镇城关中心学校</w:t>
      </w:r>
    </w:p>
    <w:p>
      <w:pPr>
        <w:spacing w:line="360" w:lineRule="auto"/>
        <w:ind w:firstLine="1606" w:firstLineChars="500"/>
        <w:jc w:val="both"/>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安徽大别山工程咨询有限公司</w:t>
      </w:r>
    </w:p>
    <w:p>
      <w:pPr>
        <w:spacing w:line="360" w:lineRule="auto"/>
        <w:ind w:firstLine="1606" w:firstLineChars="500"/>
        <w:jc w:val="both"/>
        <w:rPr>
          <w:rFonts w:hint="eastAsia"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11</w:t>
      </w:r>
      <w:r>
        <w:rPr>
          <w:rFonts w:hint="eastAsia" w:ascii="宋体" w:hAnsi="宋体" w:cs="宋体"/>
          <w:b/>
          <w:bCs/>
          <w:color w:val="auto"/>
          <w:sz w:val="32"/>
          <w:szCs w:val="32"/>
        </w:rPr>
        <w:t>月</w:t>
      </w:r>
    </w:p>
    <w:p>
      <w:pPr>
        <w:rPr>
          <w:rFonts w:hint="eastAsia" w:ascii="仿宋" w:hAnsi="仿宋" w:eastAsia="仿宋" w:cs="仿宋"/>
          <w:sz w:val="32"/>
          <w:szCs w:val="32"/>
        </w:rPr>
      </w:pPr>
      <w:r>
        <w:rPr>
          <w:rFonts w:hint="eastAsia" w:ascii="仿宋" w:hAnsi="仿宋" w:eastAsia="仿宋" w:cs="仿宋"/>
          <w:sz w:val="32"/>
          <w:szCs w:val="32"/>
        </w:rPr>
        <w:br w:type="page"/>
      </w:r>
    </w:p>
    <w:p>
      <w:pPr>
        <w:spacing w:line="240" w:lineRule="auto"/>
        <w:ind w:left="0" w:leftChars="0" w:firstLine="0" w:firstLineChars="0"/>
        <w:jc w:val="center"/>
        <w:textAlignment w:val="baseline"/>
        <w:rPr>
          <w:rStyle w:val="129"/>
          <w:rFonts w:ascii="宋体" w:hAnsi="宋体" w:eastAsia="宋体" w:cs="Times New Roman"/>
          <w:b/>
          <w:bCs/>
          <w:sz w:val="44"/>
          <w:szCs w:val="36"/>
          <w:highlight w:val="none"/>
          <w:lang w:val="en-US" w:eastAsia="zh-CN" w:bidi="ar-SA"/>
        </w:rPr>
      </w:pPr>
      <w:r>
        <w:rPr>
          <w:rStyle w:val="129"/>
          <w:rFonts w:ascii="宋体" w:hAnsi="宋体" w:eastAsia="宋体" w:cs="Times New Roman"/>
          <w:b/>
          <w:bCs/>
          <w:sz w:val="40"/>
          <w:szCs w:val="36"/>
          <w:highlight w:val="none"/>
          <w:lang w:val="en-US" w:eastAsia="zh-CN" w:bidi="ar-SA"/>
        </w:rPr>
        <w:t>目 录</w:t>
      </w:r>
    </w:p>
    <w:p>
      <w:pPr>
        <w:pStyle w:val="136"/>
        <w:widowControl/>
        <w:tabs>
          <w:tab w:val="right" w:leader="dot" w:pos="9062"/>
        </w:tabs>
        <w:spacing w:before="120" w:after="120" w:line="360" w:lineRule="auto"/>
        <w:ind w:left="480" w:hanging="440" w:hangingChars="200"/>
        <w:jc w:val="left"/>
        <w:textAlignment w:val="baseline"/>
        <w:rPr>
          <w:rStyle w:val="48"/>
          <w:rFonts w:ascii="宋体" w:hAnsi="宋体" w:eastAsia="宋体" w:cs="宋体"/>
          <w:bCs/>
          <w:caps/>
          <w:color w:val="333333"/>
          <w:kern w:val="2"/>
          <w:sz w:val="22"/>
          <w:szCs w:val="22"/>
          <w:highlight w:val="none"/>
          <w:u w:val="none"/>
          <w:lang w:val="en-US" w:eastAsia="zh-CN" w:bidi="ar-SA"/>
        </w:rPr>
      </w:pP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8"/>
          <w:rFonts w:ascii="宋体" w:hAnsi="宋体" w:eastAsia="宋体" w:cs="宋体"/>
          <w:bCs/>
          <w:caps/>
          <w:color w:val="333333"/>
          <w:kern w:val="2"/>
          <w:sz w:val="22"/>
          <w:szCs w:val="22"/>
          <w:highlight w:val="none"/>
          <w:u w:val="none"/>
          <w:lang w:val="en-US" w:eastAsia="zh-CN" w:bidi="ar-SA"/>
        </w:rPr>
        <w:t xml:space="preserve">第一章 </w:t>
      </w:r>
      <w:r>
        <w:rPr>
          <w:rStyle w:val="48"/>
          <w:rFonts w:hint="eastAsia" w:cs="宋体"/>
          <w:bCs/>
          <w:caps/>
          <w:color w:val="333333"/>
          <w:kern w:val="2"/>
          <w:sz w:val="22"/>
          <w:szCs w:val="22"/>
          <w:highlight w:val="none"/>
          <w:u w:val="none"/>
          <w:lang w:val="en-US" w:eastAsia="zh-CN" w:bidi="ar-SA"/>
        </w:rPr>
        <w:t xml:space="preserve"> 竞争性谈判公</w:t>
      </w:r>
      <w:r>
        <w:rPr>
          <w:rStyle w:val="48"/>
          <w:rFonts w:ascii="宋体" w:hAnsi="宋体" w:eastAsia="宋体" w:cs="宋体"/>
          <w:bCs/>
          <w:caps/>
          <w:color w:val="333333"/>
          <w:kern w:val="2"/>
          <w:sz w:val="22"/>
          <w:szCs w:val="22"/>
          <w:highlight w:val="none"/>
          <w:u w:val="none"/>
          <w:lang w:val="en-US" w:eastAsia="zh-CN" w:bidi="ar-SA"/>
        </w:rPr>
        <w:t>告</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3</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8"/>
          <w:rFonts w:ascii="宋体" w:hAnsi="宋体" w:eastAsia="宋体" w:cs="宋体"/>
          <w:bCs/>
          <w:caps/>
          <w:color w:val="333333"/>
          <w:kern w:val="2"/>
          <w:sz w:val="22"/>
          <w:szCs w:val="22"/>
          <w:highlight w:val="none"/>
          <w:u w:val="none"/>
          <w:lang w:val="en-US" w:eastAsia="zh-CN" w:bidi="ar-SA"/>
        </w:rPr>
        <w:t xml:space="preserve">第二章  </w:t>
      </w:r>
      <w:r>
        <w:rPr>
          <w:rStyle w:val="48"/>
          <w:rFonts w:hint="eastAsia" w:cs="宋体"/>
          <w:bCs/>
          <w:caps/>
          <w:color w:val="333333"/>
          <w:kern w:val="2"/>
          <w:sz w:val="22"/>
          <w:szCs w:val="22"/>
          <w:highlight w:val="none"/>
          <w:u w:val="none"/>
          <w:lang w:val="en-US" w:eastAsia="zh-CN" w:bidi="ar-SA"/>
        </w:rPr>
        <w:t>供应商</w:t>
      </w:r>
      <w:r>
        <w:rPr>
          <w:rStyle w:val="48"/>
          <w:rFonts w:hint="eastAsia" w:ascii="宋体" w:hAnsi="宋体" w:eastAsia="宋体" w:cs="宋体"/>
          <w:bCs/>
          <w:caps/>
          <w:color w:val="333333"/>
          <w:kern w:val="2"/>
          <w:sz w:val="22"/>
          <w:szCs w:val="22"/>
          <w:highlight w:val="none"/>
          <w:u w:val="none"/>
          <w:lang w:val="en-US" w:eastAsia="zh-CN" w:bidi="ar-SA"/>
        </w:rPr>
        <w:t>须知</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7</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8"/>
          <w:rFonts w:ascii="宋体" w:hAnsi="宋体" w:eastAsia="宋体" w:cs="宋体"/>
          <w:bCs/>
          <w:caps/>
          <w:color w:val="333333"/>
          <w:kern w:val="2"/>
          <w:sz w:val="22"/>
          <w:szCs w:val="22"/>
          <w:highlight w:val="none"/>
          <w:u w:val="none"/>
          <w:lang w:val="en-US" w:eastAsia="zh-CN" w:bidi="ar-SA"/>
        </w:rPr>
        <w:t>第</w:t>
      </w:r>
      <w:r>
        <w:rPr>
          <w:rStyle w:val="48"/>
          <w:rFonts w:hint="eastAsia" w:cs="宋体"/>
          <w:bCs/>
          <w:caps/>
          <w:color w:val="333333"/>
          <w:kern w:val="2"/>
          <w:sz w:val="22"/>
          <w:szCs w:val="22"/>
          <w:highlight w:val="none"/>
          <w:u w:val="none"/>
          <w:lang w:val="en-US" w:eastAsia="zh-CN" w:bidi="ar-SA"/>
        </w:rPr>
        <w:t>三</w:t>
      </w:r>
      <w:r>
        <w:rPr>
          <w:rStyle w:val="48"/>
          <w:rFonts w:ascii="宋体" w:hAnsi="宋体" w:eastAsia="宋体" w:cs="宋体"/>
          <w:bCs/>
          <w:caps/>
          <w:color w:val="333333"/>
          <w:kern w:val="2"/>
          <w:sz w:val="22"/>
          <w:szCs w:val="22"/>
          <w:highlight w:val="none"/>
          <w:u w:val="none"/>
          <w:lang w:val="en-US" w:eastAsia="zh-CN" w:bidi="ar-SA"/>
        </w:rPr>
        <w:t xml:space="preserve">章  </w:t>
      </w:r>
      <w:r>
        <w:rPr>
          <w:rStyle w:val="48"/>
          <w:rFonts w:hint="eastAsia" w:cs="宋体"/>
          <w:bCs/>
          <w:caps/>
          <w:color w:val="333333"/>
          <w:kern w:val="2"/>
          <w:sz w:val="22"/>
          <w:szCs w:val="22"/>
          <w:highlight w:val="none"/>
          <w:u w:val="none"/>
          <w:lang w:val="en-US" w:eastAsia="zh-CN" w:bidi="ar-SA"/>
        </w:rPr>
        <w:t>合同条款</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16</w:t>
      </w:r>
    </w:p>
    <w:p>
      <w:pPr>
        <w:pStyle w:val="136"/>
        <w:widowControl/>
        <w:tabs>
          <w:tab w:val="right" w:leader="dot" w:pos="9062"/>
        </w:tabs>
        <w:spacing w:before="120" w:after="120" w:line="360" w:lineRule="auto"/>
        <w:ind w:left="480" w:hanging="440" w:hangingChars="200"/>
        <w:jc w:val="left"/>
        <w:textAlignment w:val="baseline"/>
        <w:rPr>
          <w:rStyle w:val="129"/>
          <w:rFonts w:hint="default" w:cs="宋体"/>
          <w:bCs/>
          <w:caps/>
          <w:sz w:val="24"/>
          <w:szCs w:val="24"/>
          <w:highlight w:val="none"/>
          <w:lang w:val="en-US" w:eastAsia="zh-CN" w:bidi="ar-SA"/>
        </w:rPr>
      </w:pPr>
      <w:r>
        <w:rPr>
          <w:rStyle w:val="48"/>
          <w:rFonts w:ascii="宋体" w:hAnsi="宋体" w:eastAsia="宋体" w:cs="宋体"/>
          <w:bCs/>
          <w:caps/>
          <w:color w:val="333333"/>
          <w:kern w:val="2"/>
          <w:sz w:val="22"/>
          <w:szCs w:val="22"/>
          <w:highlight w:val="none"/>
          <w:u w:val="none"/>
          <w:lang w:val="en-US" w:eastAsia="zh-CN" w:bidi="ar-SA"/>
        </w:rPr>
        <w:t>第</w:t>
      </w:r>
      <w:r>
        <w:rPr>
          <w:rStyle w:val="48"/>
          <w:rFonts w:hint="eastAsia" w:cs="宋体"/>
          <w:bCs/>
          <w:caps/>
          <w:color w:val="333333"/>
          <w:kern w:val="2"/>
          <w:sz w:val="22"/>
          <w:szCs w:val="22"/>
          <w:highlight w:val="none"/>
          <w:u w:val="none"/>
          <w:lang w:val="en-US" w:eastAsia="zh-CN" w:bidi="ar-SA"/>
        </w:rPr>
        <w:t>四</w:t>
      </w:r>
      <w:r>
        <w:rPr>
          <w:rStyle w:val="48"/>
          <w:rFonts w:ascii="宋体" w:hAnsi="宋体" w:eastAsia="宋体" w:cs="宋体"/>
          <w:bCs/>
          <w:caps/>
          <w:color w:val="333333"/>
          <w:kern w:val="2"/>
          <w:sz w:val="22"/>
          <w:szCs w:val="22"/>
          <w:highlight w:val="none"/>
          <w:u w:val="none"/>
          <w:lang w:val="en-US" w:eastAsia="zh-CN" w:bidi="ar-SA"/>
        </w:rPr>
        <w:t xml:space="preserve">章  </w:t>
      </w:r>
      <w:r>
        <w:rPr>
          <w:rStyle w:val="48"/>
          <w:rFonts w:hint="eastAsia" w:cs="宋体"/>
          <w:bCs/>
          <w:caps/>
          <w:color w:val="333333"/>
          <w:kern w:val="2"/>
          <w:sz w:val="22"/>
          <w:szCs w:val="22"/>
          <w:highlight w:val="none"/>
          <w:u w:val="none"/>
          <w:lang w:val="en-US" w:eastAsia="zh-CN" w:bidi="ar-SA"/>
        </w:rPr>
        <w:t>采购需求</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17</w:t>
      </w:r>
    </w:p>
    <w:p>
      <w:pPr>
        <w:pStyle w:val="136"/>
        <w:widowControl/>
        <w:tabs>
          <w:tab w:val="right" w:leader="dot" w:pos="9062"/>
        </w:tabs>
        <w:spacing w:before="120" w:after="120" w:line="360" w:lineRule="auto"/>
        <w:ind w:left="480" w:hanging="440" w:hangingChars="200"/>
        <w:jc w:val="left"/>
        <w:textAlignment w:val="baseline"/>
        <w:rPr>
          <w:rStyle w:val="129"/>
          <w:rFonts w:hint="default" w:ascii="Calibri" w:hAnsi="Calibri" w:eastAsia="宋体"/>
          <w:bCs w:val="0"/>
          <w:caps w:val="0"/>
          <w:kern w:val="2"/>
          <w:sz w:val="28"/>
          <w:szCs w:val="32"/>
          <w:highlight w:val="none"/>
          <w:lang w:val="en-US" w:eastAsia="zh-CN" w:bidi="ar-SA"/>
        </w:rPr>
      </w:pPr>
      <w:r>
        <w:rPr>
          <w:rStyle w:val="48"/>
          <w:rFonts w:ascii="宋体" w:hAnsi="宋体" w:eastAsia="宋体" w:cs="宋体"/>
          <w:bCs/>
          <w:caps/>
          <w:color w:val="333333"/>
          <w:kern w:val="2"/>
          <w:sz w:val="22"/>
          <w:szCs w:val="22"/>
          <w:highlight w:val="none"/>
          <w:u w:val="none"/>
          <w:lang w:val="en-US" w:eastAsia="zh-CN" w:bidi="ar-SA"/>
        </w:rPr>
        <w:t>第</w:t>
      </w:r>
      <w:r>
        <w:rPr>
          <w:rStyle w:val="48"/>
          <w:rFonts w:hint="eastAsia" w:cs="宋体"/>
          <w:bCs/>
          <w:caps/>
          <w:color w:val="333333"/>
          <w:kern w:val="2"/>
          <w:sz w:val="22"/>
          <w:szCs w:val="22"/>
          <w:highlight w:val="none"/>
          <w:u w:val="none"/>
          <w:lang w:val="en-US" w:eastAsia="zh-CN" w:bidi="ar-SA"/>
        </w:rPr>
        <w:t>五</w:t>
      </w:r>
      <w:r>
        <w:rPr>
          <w:rStyle w:val="48"/>
          <w:rFonts w:ascii="宋体" w:hAnsi="宋体" w:eastAsia="宋体" w:cs="宋体"/>
          <w:bCs/>
          <w:caps/>
          <w:color w:val="333333"/>
          <w:kern w:val="2"/>
          <w:sz w:val="22"/>
          <w:szCs w:val="22"/>
          <w:highlight w:val="none"/>
          <w:u w:val="none"/>
          <w:lang w:val="en-US" w:eastAsia="zh-CN" w:bidi="ar-SA"/>
        </w:rPr>
        <w:t xml:space="preserve">章  </w:t>
      </w:r>
      <w:r>
        <w:rPr>
          <w:rStyle w:val="48"/>
          <w:rFonts w:hint="eastAsia" w:cs="宋体"/>
          <w:bCs/>
          <w:caps/>
          <w:color w:val="333333"/>
          <w:kern w:val="2"/>
          <w:sz w:val="22"/>
          <w:szCs w:val="22"/>
          <w:highlight w:val="none"/>
          <w:u w:val="none"/>
          <w:lang w:val="en-US" w:eastAsia="zh-CN" w:bidi="ar-SA"/>
        </w:rPr>
        <w:t>响应文件格式</w:t>
      </w:r>
      <w:r>
        <w:rPr>
          <w:rStyle w:val="129"/>
          <w:rFonts w:ascii="宋体" w:hAnsi="宋体" w:eastAsia="宋体" w:cs="宋体"/>
          <w:bCs/>
          <w:caps/>
          <w:sz w:val="24"/>
          <w:szCs w:val="24"/>
          <w:highlight w:val="none"/>
          <w:lang w:val="en-US" w:eastAsia="zh-CN" w:bidi="ar-SA"/>
        </w:rPr>
        <w:tab/>
      </w:r>
      <w:r>
        <w:rPr>
          <w:rStyle w:val="129"/>
          <w:rFonts w:hint="eastAsia" w:cs="宋体"/>
          <w:bCs/>
          <w:caps/>
          <w:sz w:val="24"/>
          <w:szCs w:val="24"/>
          <w:highlight w:val="none"/>
          <w:lang w:val="en-US" w:eastAsia="zh-CN" w:bidi="ar-SA"/>
        </w:rPr>
        <w:t>18</w:t>
      </w:r>
    </w:p>
    <w:p>
      <w:pPr>
        <w:spacing w:line="360" w:lineRule="auto"/>
        <w:ind w:firstLine="2560" w:firstLineChars="800"/>
        <w:rPr>
          <w:rFonts w:ascii="仿宋" w:hAnsi="仿宋" w:eastAsia="仿宋" w:cs="仿宋"/>
          <w:sz w:val="32"/>
          <w:szCs w:val="32"/>
        </w:rPr>
      </w:pPr>
      <w:r>
        <w:rPr>
          <w:rFonts w:hint="eastAsia" w:ascii="仿宋" w:hAnsi="仿宋" w:eastAsia="仿宋" w:cs="仿宋"/>
          <w:sz w:val="32"/>
          <w:szCs w:val="32"/>
        </w:rPr>
        <w:t xml:space="preserve">  </w:t>
      </w:r>
    </w:p>
    <w:p>
      <w:pPr>
        <w:pStyle w:val="6"/>
        <w:spacing w:before="156" w:beforeLines="50" w:after="156" w:afterLines="50" w:line="520" w:lineRule="exact"/>
        <w:jc w:val="center"/>
        <w:outlineLvl w:val="9"/>
        <w:rPr>
          <w:rFonts w:hint="eastAsia" w:ascii="华文中宋" w:hAnsi="华文中宋" w:eastAsia="华文中宋" w:cs="华文中宋"/>
          <w:b w:val="0"/>
          <w:bCs/>
          <w:sz w:val="28"/>
          <w:szCs w:val="28"/>
          <w:lang w:val="en-US" w:eastAsia="zh-CN"/>
        </w:rPr>
        <w:sectPr>
          <w:headerReference r:id="rId3" w:type="first"/>
          <w:footerReference r:id="rId4" w:type="first"/>
          <w:pgSz w:w="11906" w:h="16838"/>
          <w:pgMar w:top="1440" w:right="1080" w:bottom="1440" w:left="1080" w:header="851" w:footer="992" w:gutter="0"/>
          <w:pgNumType w:start="1"/>
          <w:cols w:space="720" w:num="1"/>
          <w:titlePg/>
          <w:docGrid w:type="lines" w:linePitch="312" w:charSpace="0"/>
        </w:sectPr>
      </w:pPr>
      <w:bookmarkStart w:id="12" w:name="_Toc30186"/>
      <w:bookmarkStart w:id="13" w:name="_Toc28964"/>
      <w:bookmarkStart w:id="14" w:name="_Toc363199264"/>
      <w:bookmarkStart w:id="15" w:name="_Toc216158623"/>
      <w:r>
        <w:rPr>
          <w:rFonts w:hint="eastAsia" w:ascii="华文中宋" w:hAnsi="华文中宋" w:eastAsia="华文中宋" w:cs="华文中宋"/>
          <w:b w:val="0"/>
          <w:bCs/>
          <w:sz w:val="28"/>
          <w:szCs w:val="28"/>
          <w:lang w:val="en-US" w:eastAsia="zh-CN"/>
        </w:rPr>
        <w:t xml:space="preserve"> </w:t>
      </w:r>
    </w:p>
    <w:bookmarkEnd w:id="12"/>
    <w:bookmarkEnd w:id="13"/>
    <w:p>
      <w:pPr>
        <w:pStyle w:val="5"/>
        <w:bidi w:val="0"/>
        <w:jc w:val="center"/>
        <w:rPr>
          <w:rFonts w:hint="eastAsia" w:ascii="方正小标宋简体" w:hAnsi="方正小标宋简体" w:eastAsia="方正小标宋简体" w:cs="方正小标宋简体"/>
          <w:b w:val="0"/>
          <w:bCs w:val="0"/>
          <w:sz w:val="36"/>
          <w:szCs w:val="32"/>
        </w:rPr>
      </w:pPr>
      <w:r>
        <w:rPr>
          <w:rFonts w:hint="eastAsia" w:ascii="方正小标宋简体" w:hAnsi="方正小标宋简体" w:eastAsia="方正小标宋简体" w:cs="方正小标宋简体"/>
          <w:b w:val="0"/>
          <w:bCs w:val="0"/>
          <w:sz w:val="36"/>
          <w:szCs w:val="32"/>
          <w:lang w:val="en-US" w:eastAsia="zh-CN"/>
        </w:rPr>
        <w:t>第</w:t>
      </w:r>
      <w:r>
        <w:rPr>
          <w:rFonts w:hint="eastAsia" w:ascii="方正小标宋简体" w:hAnsi="方正小标宋简体" w:eastAsia="方正小标宋简体" w:cs="方正小标宋简体"/>
          <w:b w:val="0"/>
          <w:bCs w:val="0"/>
          <w:sz w:val="36"/>
          <w:szCs w:val="32"/>
          <w:lang w:eastAsia="zh-CN"/>
        </w:rPr>
        <w:t>一章 竞争性谈判公告</w:t>
      </w:r>
    </w:p>
    <w:p/>
    <w:p>
      <w:pPr>
        <w:pBdr>
          <w:top w:val="single" w:color="auto" w:sz="4" w:space="1"/>
          <w:left w:val="single" w:color="auto" w:sz="4" w:space="4"/>
          <w:bottom w:val="single" w:color="auto" w:sz="4" w:space="1"/>
          <w:right w:val="single" w:color="auto" w:sz="4" w:space="4"/>
        </w:pBdr>
        <w:spacing w:line="52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霍山县衡山镇城关中心学校消防维修工程</w:t>
      </w:r>
      <w:r>
        <w:rPr>
          <w:rFonts w:hint="eastAsia" w:ascii="仿宋" w:hAnsi="仿宋" w:eastAsia="仿宋" w:cs="仿宋"/>
          <w:sz w:val="28"/>
          <w:szCs w:val="28"/>
          <w:lang w:val="en-US" w:eastAsia="zh-CN"/>
        </w:rPr>
        <w:t>在安徽霍山国投集团网站（http://ahdmig.cn/）发布采购公告，受邀的供应商应于2023年11月 日9点00分（北京时间）前提交响应文件。</w:t>
      </w:r>
    </w:p>
    <w:p>
      <w:pPr>
        <w:pStyle w:val="6"/>
        <w:adjustRightInd/>
        <w:spacing w:before="0" w:after="0" w:line="480" w:lineRule="exact"/>
        <w:jc w:val="both"/>
        <w:textAlignment w:val="auto"/>
        <w:outlineLvl w:val="0"/>
        <w:rPr>
          <w:rFonts w:ascii="黑体" w:hAnsi="黑体" w:cs="黑体"/>
          <w:b w:val="0"/>
          <w:bCs/>
          <w:sz w:val="28"/>
          <w:szCs w:val="28"/>
        </w:rPr>
      </w:pPr>
      <w:bookmarkStart w:id="16" w:name="_Toc28359012"/>
      <w:bookmarkStart w:id="17" w:name="_Toc35393629"/>
      <w:bookmarkStart w:id="18" w:name="_Toc7777"/>
      <w:bookmarkStart w:id="19" w:name="_Toc17456"/>
      <w:bookmarkStart w:id="20" w:name="_Toc28359089"/>
      <w:bookmarkStart w:id="21" w:name="_Toc23161"/>
      <w:bookmarkStart w:id="22" w:name="_Toc35393798"/>
      <w:r>
        <w:rPr>
          <w:rFonts w:hint="eastAsia" w:ascii="黑体" w:hAnsi="黑体" w:cs="黑体"/>
          <w:b w:val="0"/>
          <w:bCs/>
          <w:sz w:val="28"/>
          <w:szCs w:val="28"/>
        </w:rPr>
        <w:t>一、项目基本情况</w:t>
      </w:r>
      <w:bookmarkEnd w:id="16"/>
      <w:bookmarkEnd w:id="17"/>
      <w:bookmarkEnd w:id="18"/>
      <w:bookmarkEnd w:id="19"/>
      <w:bookmarkEnd w:id="20"/>
      <w:bookmarkEnd w:id="21"/>
      <w:bookmarkEnd w:id="22"/>
    </w:p>
    <w:p>
      <w:pPr>
        <w:spacing w:line="480" w:lineRule="exact"/>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霍山县衡山镇城关中心学校消防维修工程</w:t>
      </w:r>
    </w:p>
    <w:p>
      <w:pPr>
        <w:spacing w:line="48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项目编号：DBSGC-2023-018</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w:t>
      </w:r>
      <w:r>
        <w:rPr>
          <w:rFonts w:hint="eastAsia" w:ascii="仿宋" w:hAnsi="仿宋" w:eastAsia="仿宋" w:cs="仿宋"/>
          <w:sz w:val="28"/>
          <w:szCs w:val="28"/>
          <w:lang w:eastAsia="zh-CN"/>
        </w:rPr>
        <w:t>工程</w:t>
      </w:r>
      <w:r>
        <w:rPr>
          <w:rFonts w:hint="eastAsia" w:ascii="仿宋" w:hAnsi="仿宋" w:eastAsia="仿宋" w:cs="仿宋"/>
          <w:sz w:val="28"/>
          <w:szCs w:val="28"/>
        </w:rPr>
        <w:t>类</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、采购方式：竞争性谈判</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、预算金额：</w:t>
      </w:r>
      <w:r>
        <w:rPr>
          <w:rFonts w:hint="eastAsia" w:ascii="仿宋" w:hAnsi="仿宋" w:eastAsia="仿宋" w:cs="仿宋"/>
          <w:color w:val="auto"/>
          <w:sz w:val="28"/>
          <w:szCs w:val="28"/>
          <w:lang w:val="en-US" w:eastAsia="zh-CN"/>
        </w:rPr>
        <w:t>99110.58元</w:t>
      </w:r>
    </w:p>
    <w:p>
      <w:pPr>
        <w:spacing w:line="48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99110.58元</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、采购需求：</w:t>
      </w:r>
      <w:r>
        <w:rPr>
          <w:rFonts w:hint="eastAsia" w:ascii="仿宋" w:hAnsi="仿宋" w:eastAsia="仿宋" w:cs="仿宋"/>
          <w:sz w:val="28"/>
          <w:szCs w:val="28"/>
          <w:lang w:eastAsia="zh-CN"/>
        </w:rPr>
        <w:t>霍山县衡山镇城关中心学校消防维修工程内容包括新育幼儿园、城东小学、城东幼儿园、东湖兰庭幼儿园四所学校消防设施维修，详见工程量清单。</w:t>
      </w:r>
    </w:p>
    <w:p>
      <w:pPr>
        <w:spacing w:line="480" w:lineRule="exact"/>
        <w:rPr>
          <w:rFonts w:hint="default" w:ascii="仿宋" w:hAnsi="仿宋" w:eastAsia="仿宋" w:cs="仿宋"/>
          <w:sz w:val="28"/>
          <w:szCs w:val="28"/>
          <w:highlight w:val="none"/>
          <w:u w:val="single"/>
          <w:lang w:val="en-US"/>
        </w:rPr>
      </w:pP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color w:val="auto"/>
          <w:sz w:val="28"/>
          <w:szCs w:val="28"/>
          <w:highlight w:val="none"/>
        </w:rPr>
        <w:t>合同履行期限：</w:t>
      </w:r>
      <w:r>
        <w:rPr>
          <w:rFonts w:hint="eastAsia" w:ascii="仿宋" w:hAnsi="仿宋" w:eastAsia="仿宋" w:cs="仿宋"/>
          <w:color w:val="auto"/>
          <w:sz w:val="28"/>
          <w:szCs w:val="28"/>
          <w:highlight w:val="none"/>
          <w:lang w:val="en-US" w:eastAsia="zh-CN"/>
        </w:rPr>
        <w:t>30日历天</w:t>
      </w:r>
    </w:p>
    <w:p>
      <w:pPr>
        <w:spacing w:line="480" w:lineRule="exact"/>
        <w:rPr>
          <w:rFonts w:hint="eastAsia" w:eastAsia="仿宋"/>
          <w:lang w:val="en-US"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r>
        <w:rPr>
          <w:rFonts w:hint="eastAsia" w:ascii="仿宋" w:hAnsi="仿宋" w:eastAsia="仿宋" w:cs="仿宋"/>
          <w:sz w:val="28"/>
          <w:szCs w:val="28"/>
          <w:lang w:eastAsia="zh-CN"/>
        </w:rPr>
        <w:t>。</w:t>
      </w:r>
    </w:p>
    <w:p>
      <w:pPr>
        <w:pStyle w:val="6"/>
        <w:adjustRightInd/>
        <w:spacing w:before="0" w:after="0" w:line="480" w:lineRule="exact"/>
        <w:jc w:val="both"/>
        <w:textAlignment w:val="auto"/>
        <w:outlineLvl w:val="0"/>
        <w:rPr>
          <w:rFonts w:ascii="黑体" w:hAnsi="黑体" w:cs="黑体"/>
          <w:b w:val="0"/>
          <w:bCs/>
          <w:sz w:val="28"/>
          <w:szCs w:val="28"/>
        </w:rPr>
      </w:pPr>
      <w:bookmarkStart w:id="23" w:name="_Toc35393799"/>
      <w:bookmarkStart w:id="24" w:name="_Toc20998"/>
      <w:bookmarkStart w:id="25" w:name="_Toc12105"/>
      <w:bookmarkStart w:id="26" w:name="_Toc11070"/>
      <w:bookmarkStart w:id="27" w:name="_Toc28359090"/>
      <w:bookmarkStart w:id="28" w:name="_Toc35393630"/>
      <w:bookmarkStart w:id="29" w:name="_Toc28359013"/>
      <w:r>
        <w:rPr>
          <w:rFonts w:hint="eastAsia" w:ascii="黑体" w:hAnsi="黑体" w:cs="黑体"/>
          <w:b w:val="0"/>
          <w:bCs/>
          <w:sz w:val="28"/>
          <w:szCs w:val="28"/>
        </w:rPr>
        <w:t>二、申请人的资格要求</w:t>
      </w:r>
      <w:bookmarkEnd w:id="23"/>
      <w:bookmarkEnd w:id="24"/>
      <w:bookmarkEnd w:id="25"/>
      <w:bookmarkEnd w:id="26"/>
      <w:bookmarkEnd w:id="27"/>
      <w:bookmarkEnd w:id="28"/>
      <w:bookmarkEnd w:id="29"/>
    </w:p>
    <w:p>
      <w:pPr>
        <w:spacing w:line="480" w:lineRule="exact"/>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spacing w:line="480" w:lineRule="exact"/>
        <w:rPr>
          <w:rFonts w:ascii="仿宋" w:hAnsi="仿宋" w:eastAsia="仿宋" w:cs="仿宋"/>
          <w:sz w:val="28"/>
          <w:szCs w:val="28"/>
          <w:highlight w:val="none"/>
        </w:rPr>
      </w:pPr>
      <w:bookmarkStart w:id="30" w:name="_Toc28359014"/>
      <w:bookmarkStart w:id="31" w:name="_Toc28359091"/>
      <w:r>
        <w:rPr>
          <w:rFonts w:hint="eastAsia" w:ascii="仿宋" w:hAnsi="仿宋" w:eastAsia="仿宋" w:cs="仿宋"/>
          <w:sz w:val="28"/>
          <w:szCs w:val="28"/>
        </w:rPr>
        <w:t>2、本项目的特定资格要求：</w:t>
      </w:r>
    </w:p>
    <w:p>
      <w:pP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（1）供应商具有独立法人资格，具备消防设施工程</w:t>
      </w:r>
      <w:r>
        <w:rPr>
          <w:rFonts w:hint="eastAsia" w:ascii="仿宋" w:hAnsi="仿宋" w:eastAsia="仿宋" w:cs="仿宋"/>
          <w:sz w:val="28"/>
          <w:szCs w:val="28"/>
          <w:highlight w:val="none"/>
          <w:lang w:val="en-US" w:eastAsia="zh-CN"/>
        </w:rPr>
        <w:t>专业承包二级及以上资质或建筑装修装饰工程专业承包二级及以上资质</w:t>
      </w:r>
      <w:r>
        <w:rPr>
          <w:rFonts w:hint="eastAsia" w:ascii="仿宋" w:hAnsi="仿宋" w:eastAsia="仿宋" w:cs="仿宋"/>
          <w:sz w:val="28"/>
          <w:szCs w:val="28"/>
          <w:highlight w:val="none"/>
        </w:rPr>
        <w:t>，具有有效安全生产许可证；</w:t>
      </w:r>
    </w:p>
    <w:p>
      <w:pPr>
        <w:spacing w:line="48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（2）拟派项目经理（建造师）应具有</w:t>
      </w:r>
      <w:r>
        <w:rPr>
          <w:rFonts w:hint="eastAsia" w:ascii="仿宋" w:hAnsi="仿宋" w:eastAsia="仿宋" w:cs="仿宋"/>
          <w:sz w:val="28"/>
          <w:szCs w:val="28"/>
          <w:lang w:val="en-US" w:eastAsia="zh-CN"/>
        </w:rPr>
        <w:t>机电工程或建筑工程</w:t>
      </w:r>
      <w:r>
        <w:rPr>
          <w:rFonts w:hint="eastAsia" w:ascii="仿宋" w:hAnsi="仿宋" w:eastAsia="仿宋" w:cs="仿宋"/>
          <w:sz w:val="28"/>
          <w:szCs w:val="28"/>
        </w:rPr>
        <w:t>专业二级及以上注册建造师证书及 B 类安全生产考核合格证书；无在建工程（提供无在建承诺函，格式参考附件）</w:t>
      </w:r>
      <w:r>
        <w:rPr>
          <w:rFonts w:hint="eastAsia" w:ascii="仿宋" w:hAnsi="仿宋" w:eastAsia="仿宋" w:cs="仿宋"/>
          <w:sz w:val="28"/>
          <w:szCs w:val="28"/>
          <w:lang w:eastAsia="zh-CN"/>
        </w:rPr>
        <w:t>；</w:t>
      </w:r>
    </w:p>
    <w:p>
      <w:pPr>
        <w:spacing w:line="480" w:lineRule="exact"/>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、具有本项目谈判邀请函（依据财政部令第74号，由采购人和评审专家分别书面推荐的供应商）</w:t>
      </w:r>
    </w:p>
    <w:p>
      <w:pPr>
        <w:spacing w:line="480" w:lineRule="exact"/>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供应商存在以下不良信用记录情形之一的，不得推荐为成交候选供应商，不得确定为成交供应商：</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spacing w:line="480" w:lineRule="exact"/>
        <w:ind w:firstLine="560" w:firstLineChars="200"/>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spacing w:line="48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Autospacing="0" w:after="0" w:afterAutospacing="0" w:line="360" w:lineRule="auto"/>
        <w:ind w:right="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5、</w:t>
      </w:r>
      <w:r>
        <w:rPr>
          <w:rFonts w:hint="eastAsia" w:ascii="仿宋" w:hAnsi="仿宋" w:eastAsia="仿宋" w:cs="仿宋"/>
          <w:b/>
          <w:bCs/>
          <w:sz w:val="28"/>
          <w:szCs w:val="28"/>
          <w:lang w:val="en-US" w:eastAsia="zh-CN"/>
        </w:rPr>
        <w:t>项目负责人及项目班子组成人员必须是本单位工作人员</w:t>
      </w:r>
      <w:r>
        <w:rPr>
          <w:rFonts w:hint="eastAsia" w:ascii="仿宋" w:hAnsi="仿宋" w:eastAsia="仿宋" w:cs="仿宋"/>
          <w:sz w:val="28"/>
          <w:szCs w:val="28"/>
          <w:lang w:val="en-US" w:eastAsia="zh-CN"/>
        </w:rPr>
        <w:t>。承包人需提供所属社保机构出具的包括承包截止日所属月份（含）为基点起往前计算已经过去的连续5个月内不少于连续缴费3个月的拟委任的</w:t>
      </w:r>
      <w:r>
        <w:rPr>
          <w:rFonts w:hint="eastAsia" w:ascii="仿宋" w:hAnsi="仿宋" w:eastAsia="仿宋" w:cs="仿宋"/>
          <w:b/>
          <w:bCs/>
          <w:sz w:val="28"/>
          <w:szCs w:val="28"/>
          <w:lang w:val="en-US" w:eastAsia="zh-CN"/>
        </w:rPr>
        <w:t>项目负责人</w:t>
      </w:r>
      <w:r>
        <w:rPr>
          <w:rFonts w:hint="eastAsia" w:ascii="仿宋" w:hAnsi="仿宋" w:eastAsia="仿宋" w:cs="仿宋"/>
          <w:sz w:val="28"/>
          <w:szCs w:val="28"/>
          <w:lang w:val="en-US" w:eastAsia="zh-CN"/>
        </w:rPr>
        <w:t>社保缴费清单等社保缴费证明原件扫描件（例：7月19日发包，则连续5个月是指7月、6月、5月、4月、3月；连续3个月是指7月、6月、5月或6月、5月、4月或5月、4月、3月，其他类推）。社保缴费证明或提供的社保缴费证明不满足发包要求的，其承包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负责人姓名的工资打卡流水账单原件扫描件）。</w:t>
      </w:r>
    </w:p>
    <w:p>
      <w:pPr>
        <w:pStyle w:val="6"/>
        <w:adjustRightInd/>
        <w:spacing w:before="0" w:after="0" w:line="480" w:lineRule="exact"/>
        <w:jc w:val="both"/>
        <w:textAlignment w:val="auto"/>
        <w:outlineLvl w:val="0"/>
        <w:rPr>
          <w:rFonts w:ascii="黑体" w:hAnsi="黑体" w:cs="黑体"/>
          <w:b w:val="0"/>
          <w:bCs/>
          <w:sz w:val="28"/>
          <w:szCs w:val="28"/>
        </w:rPr>
      </w:pPr>
      <w:bookmarkStart w:id="32" w:name="_Toc16801"/>
      <w:bookmarkStart w:id="33" w:name="_Toc35393631"/>
      <w:bookmarkStart w:id="34" w:name="_Toc15899"/>
      <w:bookmarkStart w:id="35" w:name="_Toc35393800"/>
      <w:bookmarkStart w:id="36" w:name="_Toc4692"/>
      <w:r>
        <w:rPr>
          <w:rFonts w:hint="eastAsia" w:ascii="黑体" w:hAnsi="黑体" w:cs="黑体"/>
          <w:b w:val="0"/>
          <w:bCs/>
          <w:sz w:val="28"/>
          <w:szCs w:val="28"/>
        </w:rPr>
        <w:t>三、获取采购文件</w:t>
      </w:r>
      <w:bookmarkEnd w:id="30"/>
      <w:bookmarkEnd w:id="31"/>
      <w:bookmarkEnd w:id="32"/>
      <w:bookmarkEnd w:id="33"/>
      <w:bookmarkEnd w:id="34"/>
      <w:bookmarkEnd w:id="35"/>
      <w:bookmarkEnd w:id="36"/>
    </w:p>
    <w:p>
      <w:pPr>
        <w:spacing w:line="480" w:lineRule="exact"/>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spacing w:line="480" w:lineRule="exact"/>
        <w:rPr>
          <w:rFonts w:hint="eastAsia" w:ascii="仿宋" w:hAnsi="仿宋" w:eastAsia="仿宋" w:cs="仿宋"/>
          <w:sz w:val="28"/>
          <w:szCs w:val="28"/>
          <w:lang w:eastAsia="zh-CN"/>
        </w:rPr>
      </w:pPr>
      <w:bookmarkStart w:id="37" w:name="_Toc28359092"/>
      <w:bookmarkStart w:id="38" w:name="_Toc35393632"/>
      <w:bookmarkStart w:id="39" w:name="_Toc35393801"/>
      <w:bookmarkStart w:id="40" w:name="_Toc28359015"/>
      <w:bookmarkStart w:id="41" w:name="_Toc13207"/>
      <w:r>
        <w:rPr>
          <w:rFonts w:hint="eastAsia" w:ascii="仿宋" w:hAnsi="仿宋" w:eastAsia="仿宋" w:cs="仿宋"/>
          <w:sz w:val="28"/>
          <w:szCs w:val="28"/>
        </w:rPr>
        <w:t>2、地点：</w:t>
      </w:r>
      <w:r>
        <w:rPr>
          <w:rFonts w:hint="eastAsia" w:ascii="仿宋" w:hAnsi="仿宋" w:eastAsia="仿宋" w:cs="仿宋"/>
          <w:sz w:val="28"/>
          <w:szCs w:val="28"/>
          <w:lang w:eastAsia="zh-CN"/>
        </w:rPr>
        <w:t>安徽霍山国投集团网站（http://ahdmig.cn/）</w:t>
      </w:r>
    </w:p>
    <w:p>
      <w:pPr>
        <w:spacing w:line="480" w:lineRule="exact"/>
        <w:rPr>
          <w:rFonts w:ascii="仿宋" w:hAnsi="仿宋" w:eastAsia="仿宋" w:cs="仿宋"/>
          <w:sz w:val="28"/>
          <w:szCs w:val="28"/>
        </w:rPr>
      </w:pPr>
      <w:r>
        <w:rPr>
          <w:rFonts w:hint="eastAsia" w:ascii="仿宋" w:hAnsi="仿宋" w:eastAsia="仿宋" w:cs="仿宋"/>
          <w:sz w:val="28"/>
          <w:szCs w:val="28"/>
        </w:rPr>
        <w:t>3、获取方式：本项目谈判文件（答疑澄清等相关文件资料）均由供应商从公告发布网站自行下载。</w:t>
      </w:r>
    </w:p>
    <w:p>
      <w:pPr>
        <w:spacing w:line="480" w:lineRule="exact"/>
        <w:rPr>
          <w:rFonts w:ascii="仿宋" w:hAnsi="仿宋" w:eastAsia="仿宋" w:cs="仿宋"/>
          <w:sz w:val="28"/>
          <w:szCs w:val="28"/>
        </w:rPr>
      </w:pPr>
      <w:r>
        <w:rPr>
          <w:rFonts w:hint="eastAsia" w:ascii="仿宋" w:hAnsi="仿宋" w:eastAsia="仿宋" w:cs="仿宋"/>
          <w:sz w:val="28"/>
          <w:szCs w:val="28"/>
        </w:rPr>
        <w:t>4、售价：零元</w:t>
      </w:r>
    </w:p>
    <w:p>
      <w:pPr>
        <w:pStyle w:val="6"/>
        <w:adjustRightInd/>
        <w:spacing w:before="0" w:after="0" w:line="480" w:lineRule="exact"/>
        <w:jc w:val="both"/>
        <w:textAlignment w:val="auto"/>
        <w:outlineLvl w:val="0"/>
        <w:rPr>
          <w:rFonts w:ascii="黑体" w:hAnsi="黑体" w:cs="黑体"/>
          <w:b w:val="0"/>
          <w:bCs/>
          <w:sz w:val="28"/>
          <w:szCs w:val="28"/>
        </w:rPr>
      </w:pPr>
      <w:bookmarkStart w:id="42" w:name="_Toc32750"/>
      <w:bookmarkStart w:id="43" w:name="_Toc14832"/>
      <w:r>
        <w:rPr>
          <w:rFonts w:hint="eastAsia" w:ascii="黑体" w:hAnsi="黑体" w:cs="黑体"/>
          <w:b w:val="0"/>
          <w:bCs/>
          <w:sz w:val="28"/>
          <w:szCs w:val="28"/>
        </w:rPr>
        <w:t>四、响应文件</w:t>
      </w:r>
      <w:bookmarkEnd w:id="37"/>
      <w:bookmarkEnd w:id="38"/>
      <w:bookmarkEnd w:id="39"/>
      <w:bookmarkEnd w:id="40"/>
      <w:r>
        <w:rPr>
          <w:rFonts w:hint="eastAsia" w:ascii="黑体" w:hAnsi="黑体" w:cs="黑体"/>
          <w:b w:val="0"/>
          <w:bCs/>
          <w:sz w:val="28"/>
          <w:szCs w:val="28"/>
        </w:rPr>
        <w:t>提交</w:t>
      </w:r>
      <w:bookmarkEnd w:id="41"/>
      <w:bookmarkEnd w:id="42"/>
      <w:bookmarkEnd w:id="43"/>
    </w:p>
    <w:p>
      <w:pPr>
        <w:spacing w:line="480" w:lineRule="exact"/>
        <w:rPr>
          <w:rFonts w:ascii="仿宋" w:hAnsi="仿宋" w:eastAsia="仿宋" w:cs="仿宋"/>
          <w:sz w:val="28"/>
          <w:szCs w:val="28"/>
        </w:rPr>
      </w:pPr>
      <w:r>
        <w:rPr>
          <w:rFonts w:hint="eastAsia" w:ascii="仿宋" w:hAnsi="仿宋" w:eastAsia="仿宋" w:cs="仿宋"/>
          <w:sz w:val="28"/>
          <w:szCs w:val="28"/>
        </w:rPr>
        <w:t>1、递交截止时间：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w:t>
      </w:r>
      <w:r>
        <w:rPr>
          <w:rFonts w:hint="eastAsia" w:ascii="仿宋" w:hAnsi="仿宋" w:eastAsia="仿宋" w:cs="仿宋"/>
          <w:color w:val="000000" w:themeColor="text1"/>
          <w:sz w:val="28"/>
          <w:szCs w:val="28"/>
          <w14:textFill>
            <w14:solidFill>
              <w14:schemeClr w14:val="tx1"/>
            </w14:solidFill>
          </w14:textFill>
        </w:rPr>
        <w:t>京时间）</w:t>
      </w:r>
    </w:p>
    <w:p>
      <w:pPr>
        <w:spacing w:line="480" w:lineRule="exact"/>
        <w:rPr>
          <w:rFonts w:ascii="仿宋" w:hAnsi="仿宋" w:eastAsia="仿宋" w:cs="仿宋"/>
          <w:sz w:val="28"/>
          <w:szCs w:val="28"/>
        </w:rPr>
      </w:pPr>
      <w:r>
        <w:rPr>
          <w:rFonts w:hint="eastAsia" w:ascii="仿宋" w:hAnsi="仿宋" w:eastAsia="仿宋" w:cs="仿宋"/>
          <w:sz w:val="28"/>
          <w:szCs w:val="28"/>
        </w:rPr>
        <w:t>2、递交方式：</w:t>
      </w:r>
      <w:r>
        <w:rPr>
          <w:rFonts w:hint="eastAsia" w:ascii="仿宋" w:hAnsi="仿宋" w:eastAsia="仿宋" w:cs="仿宋"/>
          <w:sz w:val="28"/>
          <w:szCs w:val="28"/>
          <w:lang w:val="en-US" w:eastAsia="zh-CN"/>
        </w:rPr>
        <w:t>现场</w:t>
      </w:r>
      <w:r>
        <w:rPr>
          <w:rFonts w:hint="eastAsia" w:ascii="仿宋" w:hAnsi="仿宋" w:eastAsia="仿宋" w:cs="仿宋"/>
          <w:sz w:val="28"/>
          <w:szCs w:val="28"/>
        </w:rPr>
        <w:t>递交</w:t>
      </w:r>
    </w:p>
    <w:p>
      <w:pPr>
        <w:pStyle w:val="6"/>
        <w:adjustRightInd/>
        <w:spacing w:before="0" w:after="0" w:line="480" w:lineRule="exact"/>
        <w:jc w:val="both"/>
        <w:textAlignment w:val="auto"/>
        <w:outlineLvl w:val="0"/>
        <w:rPr>
          <w:rFonts w:ascii="黑体" w:hAnsi="黑体" w:cs="黑体"/>
          <w:b w:val="0"/>
          <w:bCs/>
          <w:sz w:val="28"/>
          <w:szCs w:val="28"/>
        </w:rPr>
      </w:pPr>
      <w:bookmarkStart w:id="44" w:name="_Toc35393633"/>
      <w:bookmarkStart w:id="45" w:name="_Toc28359093"/>
      <w:bookmarkStart w:id="46" w:name="_Toc21597"/>
      <w:bookmarkStart w:id="47" w:name="_Toc31128"/>
      <w:bookmarkStart w:id="48" w:name="_Toc28359016"/>
      <w:bookmarkStart w:id="49" w:name="_Toc35393802"/>
      <w:bookmarkStart w:id="50" w:name="_Toc12627"/>
      <w:r>
        <w:rPr>
          <w:rFonts w:hint="eastAsia" w:ascii="黑体" w:hAnsi="黑体" w:cs="黑体"/>
          <w:b w:val="0"/>
          <w:bCs/>
          <w:sz w:val="28"/>
          <w:szCs w:val="28"/>
        </w:rPr>
        <w:t>五、响应文件开启</w:t>
      </w:r>
      <w:bookmarkEnd w:id="44"/>
      <w:bookmarkEnd w:id="45"/>
      <w:bookmarkEnd w:id="46"/>
      <w:bookmarkEnd w:id="47"/>
      <w:bookmarkEnd w:id="48"/>
      <w:bookmarkEnd w:id="49"/>
      <w:bookmarkEnd w:id="50"/>
    </w:p>
    <w:p>
      <w:pPr>
        <w:spacing w:line="480" w:lineRule="exact"/>
        <w:rPr>
          <w:rFonts w:ascii="仿宋" w:hAnsi="仿宋" w:eastAsia="仿宋" w:cs="仿宋"/>
          <w:color w:val="FF0000"/>
          <w:sz w:val="28"/>
          <w:szCs w:val="28"/>
        </w:rPr>
      </w:pPr>
      <w:bookmarkStart w:id="51" w:name="_Toc28359017"/>
      <w:bookmarkStart w:id="52" w:name="_Toc35393634"/>
      <w:bookmarkStart w:id="53" w:name="_Toc25132"/>
      <w:bookmarkStart w:id="54" w:name="_Toc28359094"/>
      <w:bookmarkStart w:id="55" w:name="_Toc35393803"/>
      <w:r>
        <w:rPr>
          <w:rFonts w:hint="eastAsia" w:ascii="仿宋" w:hAnsi="仿宋" w:eastAsia="仿宋" w:cs="仿宋"/>
          <w:sz w:val="28"/>
          <w:szCs w:val="28"/>
        </w:rPr>
        <w:t>1、开启时间：</w:t>
      </w:r>
      <w:r>
        <w:rPr>
          <w:rFonts w:hint="eastAsia" w:ascii="仿宋" w:hAnsi="仿宋" w:eastAsia="仿宋" w:cs="仿宋"/>
          <w:color w:val="auto"/>
          <w:sz w:val="28"/>
          <w:szCs w:val="28"/>
        </w:rPr>
        <w:t>202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11</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30</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w:t>
      </w:r>
      <w:r>
        <w:rPr>
          <w:rFonts w:hint="eastAsia" w:ascii="仿宋" w:hAnsi="仿宋" w:eastAsia="仿宋" w:cs="仿宋"/>
          <w:color w:val="000000" w:themeColor="text1"/>
          <w:sz w:val="28"/>
          <w:szCs w:val="28"/>
          <w14:textFill>
            <w14:solidFill>
              <w14:schemeClr w14:val="tx1"/>
            </w14:solidFill>
          </w14:textFill>
        </w:rPr>
        <w:t>（北京时间）</w:t>
      </w:r>
    </w:p>
    <w:p>
      <w:pPr>
        <w:spacing w:line="480" w:lineRule="exact"/>
        <w:rPr>
          <w:rFonts w:hint="default" w:ascii="仿宋" w:hAnsi="仿宋" w:eastAsia="仿宋" w:cs="仿宋"/>
          <w:sz w:val="28"/>
          <w:szCs w:val="28"/>
          <w:lang w:val="en-US"/>
        </w:rPr>
      </w:pPr>
      <w:r>
        <w:rPr>
          <w:rFonts w:hint="eastAsia" w:ascii="仿宋" w:hAnsi="仿宋" w:eastAsia="仿宋" w:cs="仿宋"/>
          <w:sz w:val="28"/>
          <w:szCs w:val="28"/>
        </w:rPr>
        <w:t>2、开启地点：</w:t>
      </w:r>
      <w:r>
        <w:rPr>
          <w:rFonts w:hint="eastAsia" w:ascii="仿宋" w:hAnsi="仿宋" w:eastAsia="仿宋" w:cs="仿宋"/>
          <w:b w:val="0"/>
          <w:bCs w:val="0"/>
          <w:color w:val="auto"/>
          <w:sz w:val="28"/>
          <w:szCs w:val="28"/>
          <w:lang w:val="en-US" w:eastAsia="zh-CN"/>
        </w:rPr>
        <w:t>安徽大别山工程咨询有限公司开标厅</w:t>
      </w:r>
    </w:p>
    <w:p>
      <w:pPr>
        <w:pStyle w:val="6"/>
        <w:adjustRightInd/>
        <w:spacing w:before="0" w:after="0" w:line="480" w:lineRule="exact"/>
        <w:jc w:val="both"/>
        <w:textAlignment w:val="auto"/>
        <w:outlineLvl w:val="0"/>
        <w:rPr>
          <w:rFonts w:ascii="黑体" w:hAnsi="黑体" w:cs="黑体"/>
          <w:b w:val="0"/>
          <w:bCs/>
          <w:sz w:val="28"/>
          <w:szCs w:val="28"/>
        </w:rPr>
      </w:pPr>
      <w:bookmarkStart w:id="56" w:name="_Toc17661"/>
      <w:bookmarkStart w:id="57" w:name="_Toc7987"/>
      <w:r>
        <w:rPr>
          <w:rFonts w:hint="eastAsia" w:ascii="黑体" w:hAnsi="黑体" w:cs="黑体"/>
          <w:b w:val="0"/>
          <w:bCs/>
          <w:sz w:val="28"/>
          <w:szCs w:val="28"/>
        </w:rPr>
        <w:t>六、公告期限</w:t>
      </w:r>
      <w:bookmarkEnd w:id="51"/>
      <w:bookmarkEnd w:id="52"/>
      <w:bookmarkEnd w:id="53"/>
      <w:bookmarkEnd w:id="54"/>
      <w:bookmarkEnd w:id="55"/>
      <w:bookmarkEnd w:id="56"/>
      <w:bookmarkEnd w:id="57"/>
    </w:p>
    <w:p>
      <w:pPr>
        <w:spacing w:line="48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spacing w:line="480" w:lineRule="exact"/>
        <w:outlineLvl w:val="0"/>
        <w:rPr>
          <w:rFonts w:ascii="黑体" w:hAnsi="黑体" w:eastAsia="黑体" w:cs="黑体"/>
          <w:sz w:val="28"/>
          <w:szCs w:val="28"/>
        </w:rPr>
      </w:pPr>
      <w:bookmarkStart w:id="58" w:name="_Toc5509"/>
      <w:bookmarkStart w:id="59" w:name="_Toc15721"/>
      <w:r>
        <w:rPr>
          <w:rFonts w:hint="eastAsia" w:ascii="黑体" w:hAnsi="黑体" w:eastAsia="黑体" w:cs="黑体"/>
          <w:sz w:val="28"/>
          <w:szCs w:val="28"/>
        </w:rPr>
        <w:t>七、</w:t>
      </w:r>
      <w:bookmarkStart w:id="60" w:name="_Toc35393635"/>
      <w:bookmarkStart w:id="61" w:name="_Toc35393804"/>
      <w:r>
        <w:rPr>
          <w:rFonts w:hint="eastAsia" w:ascii="黑体" w:hAnsi="黑体" w:eastAsia="黑体" w:cs="黑体"/>
          <w:sz w:val="28"/>
          <w:szCs w:val="28"/>
        </w:rPr>
        <w:t>其他事宜</w:t>
      </w:r>
      <w:bookmarkEnd w:id="58"/>
      <w:bookmarkEnd w:id="59"/>
      <w:bookmarkEnd w:id="60"/>
      <w:bookmarkEnd w:id="61"/>
      <w:bookmarkStart w:id="62" w:name="_Toc28359095"/>
      <w:bookmarkStart w:id="63" w:name="_Toc35393636"/>
      <w:bookmarkStart w:id="64" w:name="_Toc35393805"/>
      <w:bookmarkStart w:id="65" w:name="_Toc28359018"/>
    </w:p>
    <w:p>
      <w:pPr>
        <w:spacing w:line="460" w:lineRule="exact"/>
        <w:ind w:firstLine="560" w:firstLineChars="200"/>
        <w:rPr>
          <w:rFonts w:ascii="仿宋" w:hAnsi="仿宋" w:eastAsia="仿宋" w:cs="仿宋"/>
          <w:kern w:val="0"/>
          <w:sz w:val="28"/>
          <w:szCs w:val="28"/>
        </w:rPr>
      </w:pPr>
      <w:bookmarkStart w:id="66" w:name="_Toc21256"/>
      <w:r>
        <w:rPr>
          <w:rFonts w:hint="eastAsia" w:ascii="仿宋" w:hAnsi="仿宋" w:eastAsia="仿宋" w:cs="仿宋"/>
          <w:sz w:val="28"/>
          <w:szCs w:val="28"/>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或未出席谈判会议者，响应文件不予接受，谈判资格无效。</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2、答疑：供应商如果对本项目内容有相关疑问，可以以邮件形式提出，对采购文件进行的澄清、更正或更改，将在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上及时发布，该公告内容为采购文件的组成部分，对供应商具有同样约束力效力。供应商应主动上网查询，供应商须自行承担因未及时关注相关信息而引发的相关责任。</w:t>
      </w:r>
    </w:p>
    <w:p>
      <w:pPr>
        <w:spacing w:line="460" w:lineRule="exact"/>
        <w:ind w:firstLine="560" w:firstLineChars="200"/>
        <w:rPr>
          <w:rFonts w:ascii="仿宋" w:hAnsi="仿宋" w:eastAsia="仿宋" w:cs="仿宋"/>
          <w:sz w:val="28"/>
          <w:szCs w:val="28"/>
        </w:rPr>
      </w:pPr>
      <w:r>
        <w:rPr>
          <w:rFonts w:hint="eastAsia" w:ascii="仿宋" w:hAnsi="仿宋" w:eastAsia="仿宋" w:cs="仿宋"/>
          <w:sz w:val="28"/>
          <w:szCs w:val="28"/>
        </w:rPr>
        <w:t>3、本项目相关公告在</w:t>
      </w:r>
      <w:r>
        <w:rPr>
          <w:rFonts w:hint="eastAsia" w:ascii="仿宋" w:hAnsi="仿宋" w:eastAsia="仿宋" w:cs="仿宋"/>
          <w:sz w:val="28"/>
          <w:szCs w:val="28"/>
          <w:lang w:eastAsia="zh-CN"/>
        </w:rPr>
        <w:t>安徽霍山国投集团网站（http://ahdmig.cn/）</w:t>
      </w:r>
      <w:r>
        <w:rPr>
          <w:rFonts w:hint="eastAsia" w:ascii="仿宋" w:hAnsi="仿宋" w:eastAsia="仿宋" w:cs="仿宋"/>
          <w:sz w:val="28"/>
          <w:szCs w:val="28"/>
        </w:rPr>
        <w:t>发布，请各位供应商注意查看有关竞争性谈判公告、答疑澄清等相关文件资料，如不及时查看造成后果由供应商自负。</w:t>
      </w:r>
    </w:p>
    <w:p>
      <w:pPr>
        <w:spacing w:line="420" w:lineRule="exact"/>
        <w:ind w:firstLine="560" w:firstLineChars="200"/>
        <w:rPr>
          <w:rFonts w:ascii="仿宋" w:hAnsi="仿宋" w:eastAsia="仿宋" w:cs="仿宋"/>
          <w:sz w:val="28"/>
          <w:szCs w:val="28"/>
        </w:rPr>
      </w:pPr>
      <w:r>
        <w:rPr>
          <w:rFonts w:hint="eastAsia" w:ascii="仿宋" w:hAnsi="仿宋" w:eastAsia="仿宋" w:cs="仿宋"/>
          <w:sz w:val="28"/>
          <w:szCs w:val="28"/>
        </w:rPr>
        <w:t>4、严禁恶意低价或恶意高价竞标，对恶意低价或恶意高价竞标的，采购人有权进行调查处理，经查证属实的，其响应资格无效，同时给予限制投标资格等处理。</w:t>
      </w:r>
    </w:p>
    <w:p>
      <w:pPr>
        <w:pStyle w:val="6"/>
        <w:adjustRightInd/>
        <w:spacing w:before="0" w:after="0" w:line="480" w:lineRule="exact"/>
        <w:jc w:val="both"/>
        <w:textAlignment w:val="auto"/>
        <w:outlineLvl w:val="0"/>
        <w:rPr>
          <w:rFonts w:ascii="黑体" w:hAnsi="黑体" w:cs="黑体"/>
          <w:b w:val="0"/>
          <w:bCs/>
          <w:sz w:val="28"/>
          <w:szCs w:val="28"/>
        </w:rPr>
      </w:pPr>
      <w:bookmarkStart w:id="67" w:name="_Toc14372"/>
      <w:bookmarkStart w:id="68" w:name="_Toc16242"/>
      <w:r>
        <w:rPr>
          <w:rFonts w:hint="eastAsia" w:ascii="黑体" w:hAnsi="黑体" w:cs="黑体"/>
          <w:b w:val="0"/>
          <w:bCs/>
          <w:sz w:val="28"/>
          <w:szCs w:val="28"/>
        </w:rPr>
        <w:t>八、凡对本次采购提出询问，请按以下方式联系。</w:t>
      </w:r>
      <w:bookmarkEnd w:id="62"/>
      <w:bookmarkEnd w:id="63"/>
      <w:bookmarkEnd w:id="64"/>
      <w:bookmarkEnd w:id="65"/>
      <w:bookmarkEnd w:id="66"/>
      <w:bookmarkEnd w:id="67"/>
      <w:bookmarkEnd w:id="68"/>
    </w:p>
    <w:p>
      <w:pPr>
        <w:pStyle w:val="6"/>
        <w:adjustRightInd/>
        <w:spacing w:before="0" w:after="0" w:line="480" w:lineRule="exact"/>
        <w:jc w:val="both"/>
        <w:textAlignment w:val="auto"/>
        <w:rPr>
          <w:rFonts w:ascii="仿宋" w:hAnsi="仿宋" w:eastAsia="仿宋" w:cs="仿宋"/>
          <w:b w:val="0"/>
          <w:bCs/>
          <w:sz w:val="28"/>
          <w:szCs w:val="28"/>
        </w:rPr>
      </w:pPr>
      <w:bookmarkStart w:id="69" w:name="_Toc28359096"/>
      <w:bookmarkStart w:id="70" w:name="_Toc35393637"/>
      <w:bookmarkStart w:id="71" w:name="_Toc28359019"/>
      <w:bookmarkStart w:id="72" w:name="_Toc35393806"/>
      <w:bookmarkStart w:id="73" w:name="_Toc12167"/>
      <w:r>
        <w:rPr>
          <w:rFonts w:hint="eastAsia" w:ascii="仿宋" w:hAnsi="仿宋" w:eastAsia="仿宋" w:cs="仿宋"/>
          <w:b w:val="0"/>
          <w:bCs/>
          <w:sz w:val="28"/>
          <w:szCs w:val="28"/>
        </w:rPr>
        <w:t>1、采购人信息</w:t>
      </w:r>
      <w:bookmarkEnd w:id="69"/>
      <w:bookmarkEnd w:id="70"/>
      <w:bookmarkEnd w:id="71"/>
      <w:bookmarkEnd w:id="72"/>
      <w:bookmarkEnd w:id="73"/>
    </w:p>
    <w:p>
      <w:pPr>
        <w:spacing w:line="480" w:lineRule="exact"/>
        <w:ind w:firstLine="560" w:firstLineChars="200"/>
        <w:rPr>
          <w:rFonts w:hint="eastAsia" w:ascii="仿宋" w:hAnsi="仿宋" w:eastAsia="仿宋" w:cs="仿宋"/>
          <w:bCs/>
          <w:sz w:val="28"/>
          <w:szCs w:val="28"/>
          <w:lang w:eastAsia="zh-CN"/>
        </w:rPr>
      </w:pPr>
      <w:bookmarkStart w:id="74" w:name="_Toc35393638"/>
      <w:bookmarkStart w:id="75" w:name="_Toc28359097"/>
      <w:bookmarkStart w:id="76" w:name="_Toc35393807"/>
      <w:bookmarkStart w:id="77"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霍山县衡山镇城关中心学校</w:t>
      </w:r>
    </w:p>
    <w:p>
      <w:pPr>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六安市霍山县淠河东路淠河新区西南侧约130米</w:t>
      </w:r>
    </w:p>
    <w:p>
      <w:pPr>
        <w:spacing w:line="480" w:lineRule="exact"/>
        <w:ind w:firstLine="560" w:firstLineChars="200"/>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联系电话</w:t>
      </w:r>
      <w:r>
        <w:rPr>
          <w:rFonts w:hint="eastAsia" w:ascii="仿宋" w:hAnsi="仿宋" w:eastAsia="仿宋" w:cs="仿宋"/>
          <w:bCs/>
          <w:sz w:val="28"/>
          <w:szCs w:val="28"/>
          <w:lang w:val="en-US" w:eastAsia="zh-CN"/>
        </w:rPr>
        <w:t>：15856448779</w:t>
      </w:r>
    </w:p>
    <w:p>
      <w:pPr>
        <w:spacing w:line="480" w:lineRule="exact"/>
        <w:rPr>
          <w:rFonts w:ascii="仿宋" w:hAnsi="仿宋" w:eastAsia="仿宋" w:cs="仿宋"/>
          <w:bCs/>
          <w:sz w:val="28"/>
          <w:szCs w:val="28"/>
        </w:rPr>
      </w:pPr>
      <w:r>
        <w:rPr>
          <w:rFonts w:hint="eastAsia" w:ascii="仿宋" w:hAnsi="仿宋" w:eastAsia="仿宋" w:cs="仿宋"/>
          <w:bCs/>
          <w:sz w:val="28"/>
          <w:szCs w:val="28"/>
        </w:rPr>
        <w:t>2、采购代理机构信息</w:t>
      </w:r>
      <w:bookmarkEnd w:id="74"/>
      <w:bookmarkEnd w:id="75"/>
      <w:bookmarkEnd w:id="76"/>
      <w:bookmarkEnd w:id="77"/>
      <w:bookmarkStart w:id="78" w:name="_Toc28359021"/>
      <w:bookmarkStart w:id="79" w:name="_Toc35393639"/>
      <w:bookmarkStart w:id="80" w:name="_Toc35393808"/>
      <w:bookmarkStart w:id="81" w:name="_Toc28359098"/>
    </w:p>
    <w:p>
      <w:pPr>
        <w:spacing w:line="48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安徽大别山工程咨询有限公司</w:t>
      </w:r>
    </w:p>
    <w:p>
      <w:pPr>
        <w:spacing w:line="480" w:lineRule="exact"/>
        <w:ind w:firstLine="560" w:firstLineChars="200"/>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霍山县国投大厦2楼</w:t>
      </w:r>
      <w:r>
        <w:rPr>
          <w:rFonts w:hint="eastAsia" w:ascii="仿宋" w:hAnsi="仿宋" w:eastAsia="仿宋" w:cs="仿宋"/>
          <w:bCs/>
          <w:sz w:val="28"/>
          <w:szCs w:val="28"/>
        </w:rPr>
        <w:t xml:space="preserve"> </w:t>
      </w:r>
    </w:p>
    <w:p>
      <w:pPr>
        <w:spacing w:line="480" w:lineRule="exact"/>
        <w:ind w:firstLine="560" w:firstLineChars="200"/>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0564-5020033/13014025901</w:t>
      </w:r>
    </w:p>
    <w:p>
      <w:pPr>
        <w:spacing w:line="480" w:lineRule="exact"/>
        <w:rPr>
          <w:rFonts w:ascii="仿宋" w:hAnsi="仿宋" w:eastAsia="仿宋" w:cs="仿宋"/>
          <w:bCs/>
          <w:sz w:val="28"/>
          <w:szCs w:val="28"/>
        </w:rPr>
      </w:pPr>
      <w:r>
        <w:rPr>
          <w:rFonts w:hint="eastAsia" w:ascii="仿宋" w:hAnsi="仿宋" w:eastAsia="仿宋" w:cs="仿宋"/>
          <w:bCs/>
          <w:sz w:val="28"/>
          <w:szCs w:val="28"/>
        </w:rPr>
        <w:t>3、项目联系方式</w:t>
      </w:r>
      <w:bookmarkEnd w:id="78"/>
      <w:bookmarkEnd w:id="79"/>
      <w:bookmarkEnd w:id="80"/>
      <w:bookmarkEnd w:id="81"/>
    </w:p>
    <w:p>
      <w:pPr>
        <w:widowControl/>
        <w:spacing w:line="480" w:lineRule="exact"/>
        <w:ind w:firstLine="560" w:firstLineChars="200"/>
        <w:rPr>
          <w:rFonts w:hint="eastAsia"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王女士</w:t>
      </w:r>
    </w:p>
    <w:p>
      <w:pPr>
        <w:widowControl/>
        <w:spacing w:line="48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0564-5020033/13014025901</w:t>
      </w: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hint="eastAsia" w:ascii="仿宋" w:hAnsi="仿宋" w:eastAsia="仿宋" w:cs="仿宋"/>
          <w:bCs/>
          <w:color w:val="auto"/>
          <w:sz w:val="28"/>
          <w:szCs w:val="28"/>
        </w:rPr>
      </w:pPr>
    </w:p>
    <w:p>
      <w:pPr>
        <w:spacing w:line="480" w:lineRule="exact"/>
        <w:ind w:firstLine="560" w:firstLineChars="200"/>
        <w:jc w:val="right"/>
        <w:rPr>
          <w:rFonts w:ascii="仿宋" w:hAnsi="仿宋" w:eastAsia="仿宋" w:cs="仿宋"/>
          <w:bCs/>
          <w:color w:val="auto"/>
          <w:sz w:val="28"/>
          <w:szCs w:val="28"/>
        </w:rPr>
      </w:pPr>
      <w:r>
        <w:rPr>
          <w:rFonts w:hint="eastAsia" w:ascii="仿宋" w:hAnsi="仿宋" w:eastAsia="仿宋" w:cs="仿宋"/>
          <w:bCs/>
          <w:color w:val="auto"/>
          <w:sz w:val="28"/>
          <w:szCs w:val="28"/>
        </w:rPr>
        <w:t>202</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11</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27</w:t>
      </w:r>
      <w:r>
        <w:rPr>
          <w:rFonts w:hint="eastAsia" w:ascii="仿宋" w:hAnsi="仿宋" w:eastAsia="仿宋" w:cs="仿宋"/>
          <w:bCs/>
          <w:color w:val="auto"/>
          <w:sz w:val="28"/>
          <w:szCs w:val="28"/>
        </w:rPr>
        <w:t>日</w:t>
      </w:r>
    </w:p>
    <w:p>
      <w:pPr>
        <w:rPr>
          <w:rFonts w:hint="eastAsia" w:ascii="宋体" w:hAnsi="宋体" w:eastAsia="宋体" w:cs="宋体"/>
          <w:sz w:val="28"/>
          <w:szCs w:val="28"/>
        </w:rPr>
      </w:pPr>
      <w:bookmarkStart w:id="82" w:name="_Toc18386"/>
      <w:r>
        <w:rPr>
          <w:rFonts w:hint="eastAsia" w:ascii="宋体" w:hAnsi="宋体" w:eastAsia="宋体" w:cs="宋体"/>
          <w:sz w:val="28"/>
          <w:szCs w:val="28"/>
        </w:rPr>
        <w:br w:type="page"/>
      </w:r>
    </w:p>
    <w:p>
      <w:pPr>
        <w:pStyle w:val="5"/>
        <w:bidi w:val="0"/>
        <w:jc w:val="center"/>
        <w:rPr>
          <w:b/>
          <w:bCs/>
          <w:sz w:val="32"/>
          <w:szCs w:val="28"/>
        </w:rPr>
      </w:pPr>
      <w:bookmarkStart w:id="83" w:name="_Toc9928"/>
      <w:r>
        <w:rPr>
          <w:rFonts w:hint="eastAsia"/>
          <w:b/>
          <w:bCs/>
          <w:sz w:val="32"/>
          <w:szCs w:val="28"/>
          <w:lang w:val="en-US" w:eastAsia="zh-CN"/>
        </w:rPr>
        <w:t xml:space="preserve">第二章  </w:t>
      </w:r>
      <w:r>
        <w:rPr>
          <w:rFonts w:hint="eastAsia"/>
          <w:b/>
          <w:bCs/>
          <w:sz w:val="32"/>
          <w:szCs w:val="28"/>
        </w:rPr>
        <w:t>供应商须知</w:t>
      </w:r>
      <w:bookmarkEnd w:id="14"/>
      <w:bookmarkEnd w:id="15"/>
      <w:bookmarkEnd w:id="82"/>
      <w:bookmarkEnd w:id="83"/>
    </w:p>
    <w:p>
      <w:pPr>
        <w:pStyle w:val="6"/>
        <w:keepNext/>
        <w:keepLines/>
        <w:pageBreakBefore w:val="0"/>
        <w:widowControl w:val="0"/>
        <w:kinsoku/>
        <w:wordWrap/>
        <w:overflowPunct/>
        <w:topLinePunct w:val="0"/>
        <w:autoSpaceDE/>
        <w:autoSpaceDN/>
        <w:bidi w:val="0"/>
        <w:adjustRightInd w:val="0"/>
        <w:snapToGrid/>
        <w:spacing w:before="0" w:after="0" w:line="360" w:lineRule="auto"/>
        <w:jc w:val="center"/>
        <w:textAlignment w:val="baseline"/>
        <w:rPr>
          <w:rFonts w:ascii="宋体" w:hAnsi="宋体" w:eastAsia="宋体" w:cs="宋体"/>
          <w:sz w:val="24"/>
          <w:szCs w:val="24"/>
        </w:rPr>
      </w:pPr>
      <w:bookmarkStart w:id="84" w:name="_Toc6858"/>
      <w:r>
        <w:rPr>
          <w:rFonts w:hint="eastAsia" w:ascii="宋体" w:hAnsi="宋体" w:eastAsia="宋体" w:cs="宋体"/>
          <w:sz w:val="24"/>
          <w:szCs w:val="24"/>
        </w:rPr>
        <w:t>（一）须知前附表</w:t>
      </w:r>
      <w:bookmarkEnd w:id="84"/>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62"/>
        <w:gridCol w:w="1665"/>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 w:hRule="atLeast"/>
          <w:jc w:val="center"/>
        </w:trPr>
        <w:tc>
          <w:tcPr>
            <w:tcW w:w="762" w:type="dxa"/>
            <w:vAlign w:val="center"/>
          </w:tcPr>
          <w:p>
            <w:pPr>
              <w:spacing w:line="440" w:lineRule="exact"/>
              <w:jc w:val="center"/>
              <w:rPr>
                <w:rFonts w:ascii="宋体" w:hAnsi="宋体"/>
                <w:b/>
                <w:sz w:val="24"/>
                <w:szCs w:val="24"/>
              </w:rPr>
            </w:pPr>
            <w:bookmarkStart w:id="85" w:name="_Toc438107743"/>
            <w:bookmarkStart w:id="86" w:name="_Toc363199267"/>
            <w:bookmarkStart w:id="87" w:name="_Toc216158627"/>
            <w:r>
              <w:rPr>
                <w:rFonts w:hint="eastAsia" w:ascii="宋体" w:hAnsi="宋体"/>
                <w:b/>
                <w:sz w:val="24"/>
                <w:szCs w:val="24"/>
              </w:rPr>
              <w:t>序号</w:t>
            </w:r>
          </w:p>
        </w:tc>
        <w:tc>
          <w:tcPr>
            <w:tcW w:w="1665"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33" w:type="dxa"/>
            <w:vAlign w:val="center"/>
          </w:tcPr>
          <w:p>
            <w:pPr>
              <w:pStyle w:val="102"/>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665"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33" w:type="dxa"/>
            <w:vAlign w:val="center"/>
          </w:tcPr>
          <w:p>
            <w:pPr>
              <w:spacing w:line="440" w:lineRule="exact"/>
              <w:rPr>
                <w:rFonts w:hint="default"/>
                <w:sz w:val="24"/>
                <w:szCs w:val="24"/>
                <w:lang w:val="en-US"/>
              </w:rPr>
            </w:pPr>
            <w:r>
              <w:rPr>
                <w:rFonts w:hint="eastAsia"/>
                <w:sz w:val="24"/>
                <w:szCs w:val="24"/>
                <w:lang w:val="en-US" w:eastAsia="zh-CN"/>
              </w:rPr>
              <w:t>霍山县衡山镇城关中心学校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665"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33"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安徽大别山工程咨询有限公司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霍山县国投大厦2楼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33" w:type="dxa"/>
            <w:vAlign w:val="center"/>
          </w:tcPr>
          <w:p>
            <w:pPr>
              <w:pStyle w:val="102"/>
              <w:widowControl w:val="0"/>
              <w:spacing w:before="0" w:beforeAutospacing="0" w:after="0" w:afterAutospacing="0" w:line="440" w:lineRule="exact"/>
              <w:jc w:val="both"/>
              <w:rPr>
                <w:b w:val="0"/>
                <w:bCs w:val="0"/>
                <w:sz w:val="24"/>
                <w:szCs w:val="24"/>
              </w:rPr>
            </w:pPr>
            <w:r>
              <w:rPr>
                <w:rFonts w:hint="eastAsia"/>
                <w:b w:val="0"/>
                <w:bCs w:val="0"/>
                <w:sz w:val="24"/>
                <w:szCs w:val="24"/>
                <w:lang w:eastAsia="zh-CN"/>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665"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33" w:type="dxa"/>
            <w:vAlign w:val="center"/>
          </w:tcPr>
          <w:p>
            <w:pPr>
              <w:pStyle w:val="102"/>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霍山县衡山镇城关中心学校消防维修工程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665" w:type="dxa"/>
            <w:vAlign w:val="center"/>
          </w:tcPr>
          <w:p>
            <w:pPr>
              <w:spacing w:line="440" w:lineRule="exact"/>
              <w:jc w:val="center"/>
              <w:rPr>
                <w:rFonts w:ascii="宋体" w:hAnsi="宋体"/>
                <w:sz w:val="24"/>
                <w:szCs w:val="24"/>
                <w:highlight w:val="none"/>
              </w:rPr>
            </w:pPr>
            <w:r>
              <w:rPr>
                <w:rFonts w:hint="eastAsia" w:ascii="宋体" w:hAnsi="宋体"/>
                <w:sz w:val="24"/>
                <w:szCs w:val="24"/>
                <w:highlight w:val="none"/>
              </w:rPr>
              <w:t>项目编号</w:t>
            </w:r>
          </w:p>
        </w:tc>
        <w:tc>
          <w:tcPr>
            <w:tcW w:w="7333" w:type="dxa"/>
            <w:vAlign w:val="center"/>
          </w:tcPr>
          <w:p>
            <w:pPr>
              <w:pStyle w:val="102"/>
              <w:widowControl w:val="0"/>
              <w:spacing w:before="0" w:beforeAutospacing="0" w:after="0" w:afterAutospacing="0" w:line="440" w:lineRule="exact"/>
              <w:jc w:val="both"/>
              <w:rPr>
                <w:rFonts w:hint="default" w:eastAsia="宋体"/>
                <w:b w:val="0"/>
                <w:bCs w:val="0"/>
                <w:sz w:val="24"/>
                <w:szCs w:val="24"/>
                <w:highlight w:val="none"/>
                <w:lang w:val="en-US" w:eastAsia="zh-CN"/>
              </w:rPr>
            </w:pPr>
            <w:r>
              <w:rPr>
                <w:rFonts w:hint="eastAsia" w:ascii="宋体" w:hAnsi="宋体" w:eastAsia="宋体" w:cs="Times New Roman"/>
                <w:b w:val="0"/>
                <w:bCs w:val="0"/>
                <w:kern w:val="2"/>
                <w:sz w:val="24"/>
                <w:szCs w:val="24"/>
                <w:highlight w:val="none"/>
                <w:lang w:val="en-US" w:eastAsia="zh-CN" w:bidi="ar-SA"/>
              </w:rPr>
              <w:t>DBSGC-2023-</w:t>
            </w:r>
            <w:r>
              <w:rPr>
                <w:rFonts w:hint="eastAsia" w:cs="Times New Roman"/>
                <w:b w:val="0"/>
                <w:bCs w:val="0"/>
                <w:kern w:val="2"/>
                <w:sz w:val="24"/>
                <w:szCs w:val="24"/>
                <w:highlight w:val="none"/>
                <w:lang w:val="en-US" w:eastAsia="zh-CN" w:bidi="ar-SA"/>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665" w:type="dxa"/>
            <w:vAlign w:val="center"/>
          </w:tcPr>
          <w:p>
            <w:pPr>
              <w:spacing w:line="440" w:lineRule="exact"/>
              <w:jc w:val="center"/>
              <w:rPr>
                <w:rFonts w:ascii="宋体" w:hAnsi="宋体"/>
                <w:sz w:val="24"/>
                <w:szCs w:val="24"/>
              </w:rPr>
            </w:pPr>
            <w:r>
              <w:rPr>
                <w:rFonts w:hint="eastAsia" w:ascii="宋体" w:hAnsi="宋体"/>
                <w:sz w:val="24"/>
                <w:szCs w:val="24"/>
                <w:highlight w:val="none"/>
              </w:rPr>
              <w:t>付款方式</w:t>
            </w:r>
          </w:p>
        </w:tc>
        <w:tc>
          <w:tcPr>
            <w:tcW w:w="7333" w:type="dxa"/>
            <w:vAlign w:val="center"/>
          </w:tcPr>
          <w:p>
            <w:pPr>
              <w:pStyle w:val="100"/>
              <w:pBdr>
                <w:bottom w:val="none" w:color="auto" w:sz="0" w:space="0"/>
              </w:pBdr>
              <w:tabs>
                <w:tab w:val="clear" w:pos="4153"/>
                <w:tab w:val="clear" w:pos="8306"/>
              </w:tabs>
              <w:adjustRightInd/>
              <w:spacing w:line="460" w:lineRule="exact"/>
              <w:jc w:val="both"/>
              <w:rPr>
                <w:rFonts w:hint="default" w:ascii="宋体" w:hAnsi="宋体" w:cs="宋体"/>
                <w:szCs w:val="24"/>
                <w:highlight w:val="none"/>
                <w:lang w:val="en-US" w:eastAsia="zh-CN"/>
              </w:rPr>
            </w:pPr>
            <w:r>
              <w:rPr>
                <w:rFonts w:hint="eastAsia"/>
                <w:color w:val="auto"/>
                <w:szCs w:val="24"/>
                <w:highlight w:val="none"/>
                <w:lang w:val="en-US" w:eastAsia="zh-CN"/>
              </w:rPr>
              <w:t>工程竣工验收后付至结算价款的98%，</w:t>
            </w:r>
            <w:r>
              <w:rPr>
                <w:rFonts w:hint="eastAsia" w:hAnsi="宋体" w:cs="宋体"/>
                <w:color w:val="auto"/>
                <w:sz w:val="24"/>
                <w:szCs w:val="24"/>
                <w:highlight w:val="none"/>
                <w:lang w:val="en-US" w:eastAsia="zh-CN"/>
              </w:rPr>
              <w:t>余款2%作为工程质保金，质保期满1年后一次性付清（无息）。备注：已提供质量保证金保函、保证、保险等的，不再扣留质保金。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665" w:type="dxa"/>
            <w:vAlign w:val="center"/>
          </w:tcPr>
          <w:p>
            <w:pPr>
              <w:spacing w:line="440" w:lineRule="exact"/>
              <w:jc w:val="center"/>
              <w:rPr>
                <w:rFonts w:ascii="宋体" w:hAnsi="宋体"/>
                <w:color w:val="auto"/>
                <w:sz w:val="24"/>
                <w:szCs w:val="24"/>
                <w:highlight w:val="none"/>
              </w:rPr>
            </w:pPr>
            <w:r>
              <w:rPr>
                <w:rFonts w:hint="eastAsia" w:ascii="宋体" w:hAnsi="宋体"/>
                <w:color w:val="auto"/>
                <w:sz w:val="24"/>
                <w:szCs w:val="24"/>
                <w:highlight w:val="none"/>
                <w:lang w:eastAsia="zh-CN"/>
              </w:rPr>
              <w:t>工</w:t>
            </w:r>
            <w:r>
              <w:rPr>
                <w:rFonts w:hint="eastAsia" w:ascii="宋体" w:hAnsi="宋体"/>
                <w:color w:val="auto"/>
                <w:sz w:val="24"/>
                <w:szCs w:val="24"/>
                <w:highlight w:val="none"/>
              </w:rPr>
              <w:t>期</w:t>
            </w:r>
          </w:p>
        </w:tc>
        <w:tc>
          <w:tcPr>
            <w:tcW w:w="7333" w:type="dxa"/>
            <w:vAlign w:val="center"/>
          </w:tcPr>
          <w:p>
            <w:pPr>
              <w:spacing w:line="480" w:lineRule="exact"/>
              <w:rPr>
                <w:rFonts w:hint="default"/>
                <w:b w:val="0"/>
                <w:bCs w:val="0"/>
                <w:color w:val="auto"/>
                <w:sz w:val="24"/>
                <w:szCs w:val="24"/>
                <w:highlight w:val="none"/>
                <w:lang w:val="en-US"/>
              </w:rPr>
            </w:pPr>
            <w:r>
              <w:rPr>
                <w:rFonts w:hint="eastAsia" w:ascii="宋体" w:hAnsi="宋体" w:cs="Times New Roman"/>
                <w:b w:val="0"/>
                <w:bCs w:val="0"/>
                <w:kern w:val="0"/>
                <w:sz w:val="24"/>
                <w:szCs w:val="24"/>
                <w:lang w:val="en-US" w:eastAsia="zh-CN" w:bidi="ar-SA"/>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color w:val="000000" w:themeColor="text1"/>
                <w:kern w:val="2"/>
                <w:szCs w:val="24"/>
                <w:lang w:val="en-US"/>
                <w14:textFill>
                  <w14:solidFill>
                    <w14:schemeClr w14:val="tx1"/>
                  </w14:solidFill>
                </w14:textFill>
              </w:rPr>
              <w:t>质保期</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b/>
                <w:bCs/>
                <w:szCs w:val="24"/>
                <w:lang w:val="en-US"/>
              </w:rPr>
            </w:pPr>
            <w:r>
              <w:rPr>
                <w:rFonts w:hint="eastAsia" w:ascii="宋体" w:hAnsi="宋体" w:cs="宋体"/>
                <w:bCs/>
                <w:szCs w:val="24"/>
              </w:rPr>
              <w:t>自竣工验收合格之日起</w:t>
            </w:r>
            <w:r>
              <w:rPr>
                <w:rFonts w:hint="eastAsia" w:ascii="宋体" w:hAnsi="宋体" w:cs="宋体"/>
                <w:bCs/>
                <w:szCs w:val="24"/>
                <w:lang w:val="en-US" w:eastAsia="zh-CN"/>
              </w:rPr>
              <w:t>1</w:t>
            </w:r>
            <w:r>
              <w:rPr>
                <w:rFonts w:hint="eastAsia" w:ascii="宋体" w:hAnsi="宋体" w:cs="宋体"/>
                <w:bCs/>
                <w:color w:val="000000" w:themeColor="text1"/>
                <w:szCs w:val="24"/>
                <w14:textFill>
                  <w14:solidFill>
                    <w14:schemeClr w14:val="tx1"/>
                  </w14:solidFill>
                </w14:textFill>
              </w:rPr>
              <w:t>年</w:t>
            </w:r>
            <w:r>
              <w:rPr>
                <w:rFonts w:hint="eastAsia" w:ascii="宋体" w:hAnsi="宋体" w:cs="宋体"/>
                <w:bCs/>
                <w:color w:val="000000" w:themeColor="text1"/>
                <w:szCs w:val="24"/>
                <w:lang w:eastAsia="zh-CN"/>
                <w14:textFill>
                  <w14:solidFill>
                    <w14:schemeClr w14:val="tx1"/>
                  </w14:solidFill>
                </w14:textFill>
              </w:rPr>
              <w:t>。备注：后期按采购人要求</w:t>
            </w:r>
            <w:r>
              <w:rPr>
                <w:rFonts w:hint="eastAsia" w:ascii="宋体" w:hAnsi="宋体" w:cs="宋体"/>
                <w:b w:val="0"/>
                <w:bCs/>
                <w:color w:val="000000" w:themeColor="text1"/>
                <w:szCs w:val="24"/>
                <w:lang w:eastAsia="zh-CN"/>
                <w14:textFill>
                  <w14:solidFill>
                    <w14:schemeClr w14:val="tx1"/>
                  </w14:solidFill>
                </w14:textFill>
              </w:rPr>
              <w:t>，</w:t>
            </w:r>
            <w:r>
              <w:rPr>
                <w:rFonts w:hint="eastAsia" w:ascii="宋体" w:hAnsi="宋体" w:cs="宋体"/>
                <w:color w:val="auto"/>
                <w:szCs w:val="24"/>
                <w:highlight w:val="none"/>
              </w:rPr>
              <w:t>中标人</w:t>
            </w:r>
            <w:r>
              <w:rPr>
                <w:rFonts w:hint="eastAsia" w:ascii="宋体" w:hAnsi="宋体" w:eastAsia="宋体" w:cs="宋体"/>
                <w:b w:val="0"/>
                <w:bCs/>
                <w:color w:val="000000"/>
                <w:kern w:val="0"/>
                <w:sz w:val="24"/>
                <w:szCs w:val="24"/>
                <w:lang w:val="en-US" w:eastAsia="zh-CN" w:bidi="ar"/>
              </w:rPr>
              <w:t>可通过工程款预留、现金转账、担保保函、保证保险、保函（含电子保函）等方式缴纳工程质量保证金。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val="en-US" w:eastAsia="zh-CN"/>
              </w:rPr>
            </w:pPr>
            <w:r>
              <w:rPr>
                <w:rFonts w:hint="eastAsia" w:ascii="宋体" w:hAnsi="宋体" w:eastAsia="宋体" w:cs="宋体"/>
                <w:color w:val="auto"/>
                <w:kern w:val="0"/>
                <w:sz w:val="24"/>
                <w:szCs w:val="24"/>
                <w:lang w:val="en-US" w:eastAsia="zh-CN" w:bidi="ar-SA"/>
              </w:rPr>
              <w:t>1、</w:t>
            </w:r>
            <w:r>
              <w:rPr>
                <w:rFonts w:hint="eastAsia" w:ascii="宋体" w:hAnsi="宋体" w:cs="宋体"/>
                <w:color w:val="auto"/>
                <w:szCs w:val="24"/>
                <w:highlight w:val="none"/>
                <w:lang w:val="en-US" w:eastAsia="zh-CN"/>
              </w:rPr>
              <w:t>招标代理服务费：</w:t>
            </w:r>
            <w:r>
              <w:rPr>
                <w:rFonts w:hint="eastAsia" w:ascii="宋体" w:hAnsi="宋体" w:cs="宋体"/>
                <w:color w:val="auto"/>
                <w:szCs w:val="24"/>
                <w:highlight w:val="none"/>
              </w:rPr>
              <w:t>根据《国家发展改革委关于进一步放开建设项目专业服务价格的通知》"发改价格【2015】299 号）"文件规定，招标代理服务费以中标价（成交价）为计算基数，由中标人支付。</w:t>
            </w:r>
            <w:r>
              <w:rPr>
                <w:rFonts w:hint="eastAsia" w:ascii="宋体" w:hAnsi="宋体" w:cs="宋体"/>
                <w:color w:val="auto"/>
                <w:szCs w:val="24"/>
                <w:highlight w:val="none"/>
                <w:lang w:val="en-US" w:eastAsia="zh-CN"/>
              </w:rPr>
              <w:t>招标代理费</w:t>
            </w:r>
            <w:r>
              <w:rPr>
                <w:rFonts w:hint="eastAsia" w:ascii="宋体" w:hAnsi="宋体" w:cs="宋体"/>
                <w:color w:val="auto"/>
                <w:szCs w:val="24"/>
                <w:highlight w:val="none"/>
              </w:rPr>
              <w:t>具体计算公式如下：</w:t>
            </w:r>
            <w:r>
              <w:rPr>
                <w:rFonts w:hint="eastAsia" w:ascii="宋体" w:hAnsi="宋体" w:cs="宋体"/>
                <w:color w:val="auto"/>
                <w:szCs w:val="24"/>
                <w:highlight w:val="none"/>
                <w:lang w:val="en-US" w:eastAsia="zh-CN"/>
              </w:rPr>
              <w:t>中标价*1%，经计算服务费不足3000元的，按3000元收取。</w:t>
            </w:r>
          </w:p>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val="en-US" w:eastAsia="zh-CN"/>
              </w:rPr>
            </w:pPr>
            <w:r>
              <w:rPr>
                <w:rFonts w:hint="eastAsia" w:ascii="宋体" w:hAnsi="宋体" w:eastAsia="宋体" w:cs="宋体"/>
                <w:color w:val="auto"/>
                <w:kern w:val="0"/>
                <w:sz w:val="24"/>
                <w:szCs w:val="24"/>
                <w:lang w:val="en-US" w:eastAsia="zh-CN" w:bidi="ar-SA"/>
              </w:rPr>
              <w:t>2、</w:t>
            </w:r>
            <w:r>
              <w:rPr>
                <w:rFonts w:hint="eastAsia" w:ascii="宋体" w:hAnsi="宋体" w:cs="宋体"/>
                <w:color w:val="auto"/>
                <w:szCs w:val="24"/>
                <w:highlight w:val="none"/>
                <w:lang w:val="en-US" w:eastAsia="zh-CN"/>
              </w:rPr>
              <w:t>工程造价咨询费：根据国家发改委《关于进一步放开建设项目专业服务价格的通知》（发改价格[2015]299号）精神，工程造价咨询费由中标人支付。本项目工程造价咨询费参照《关于重新制定工程造价咨询服务收费项目及标准的通知》（皖价服[2007]86 号文）收取，收费以中标价（成交价）为基础，按照差额定率累进的标准收取，包括工程量清单编制、控制价编制费。工程造价咨询费为：1000元（基本收费标准计费不足1000元的，按1000元计费）。</w:t>
            </w:r>
            <w:bookmarkStart w:id="147" w:name="_GoBack"/>
            <w:bookmarkEnd w:id="147"/>
          </w:p>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val="en-US" w:eastAsia="zh-CN"/>
              </w:rPr>
            </w:pPr>
            <w:r>
              <w:rPr>
                <w:rFonts w:hint="eastAsia" w:ascii="宋体" w:hAnsi="宋体" w:eastAsia="宋体" w:cs="宋体"/>
                <w:color w:val="auto"/>
                <w:kern w:val="0"/>
                <w:sz w:val="24"/>
                <w:szCs w:val="24"/>
                <w:lang w:val="en-US" w:eastAsia="zh-CN" w:bidi="ar-SA"/>
              </w:rPr>
              <w:t>3、</w:t>
            </w:r>
            <w:r>
              <w:rPr>
                <w:rFonts w:hint="eastAsia" w:ascii="宋体" w:hAnsi="宋体" w:cs="宋体"/>
                <w:color w:val="auto"/>
                <w:szCs w:val="24"/>
                <w:highlight w:val="none"/>
                <w:lang w:val="en-US" w:eastAsia="zh-CN"/>
              </w:rPr>
              <w:t>缴纳账户：安徽大别山工程咨询有限公司</w:t>
            </w:r>
          </w:p>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val="en-US" w:eastAsia="zh-CN"/>
              </w:rPr>
            </w:pPr>
            <w:r>
              <w:rPr>
                <w:rFonts w:hint="eastAsia" w:ascii="宋体" w:hAnsi="宋体" w:eastAsia="宋体" w:cs="宋体"/>
                <w:color w:val="auto"/>
                <w:kern w:val="0"/>
                <w:sz w:val="24"/>
                <w:szCs w:val="24"/>
                <w:lang w:val="en-US" w:eastAsia="zh-CN" w:bidi="ar-SA"/>
              </w:rPr>
              <w:t>4、</w:t>
            </w:r>
            <w:r>
              <w:rPr>
                <w:rFonts w:hint="eastAsia" w:ascii="宋体" w:hAnsi="宋体" w:cs="宋体"/>
                <w:color w:val="auto"/>
                <w:szCs w:val="24"/>
                <w:highlight w:val="none"/>
                <w:lang w:val="en-US" w:eastAsia="zh-CN"/>
              </w:rPr>
              <w:t>开户行：安徽霍山农村商业银行股份有限公司营业部</w:t>
            </w:r>
          </w:p>
          <w:p>
            <w:pPr>
              <w:pStyle w:val="100"/>
              <w:numPr>
                <w:ilvl w:val="0"/>
                <w:numId w:val="0"/>
              </w:numPr>
              <w:pBdr>
                <w:bottom w:val="none" w:color="auto" w:sz="0" w:space="0"/>
              </w:pBdr>
              <w:tabs>
                <w:tab w:val="clear" w:pos="4153"/>
                <w:tab w:val="clear" w:pos="8306"/>
              </w:tabs>
              <w:adjustRightInd/>
              <w:spacing w:line="440" w:lineRule="exact"/>
              <w:jc w:val="both"/>
              <w:textAlignment w:val="auto"/>
              <w:rPr>
                <w:rFonts w:hint="default" w:ascii="宋体" w:hAnsi="宋体" w:cs="宋体"/>
                <w:color w:val="auto"/>
                <w:szCs w:val="24"/>
                <w:highlight w:val="none"/>
                <w:lang w:val="en-US" w:eastAsia="zh-CN"/>
              </w:rPr>
            </w:pPr>
            <w:r>
              <w:rPr>
                <w:rFonts w:hint="default" w:ascii="宋体" w:hAnsi="宋体" w:eastAsia="宋体" w:cs="宋体"/>
                <w:color w:val="auto"/>
                <w:kern w:val="0"/>
                <w:sz w:val="24"/>
                <w:szCs w:val="24"/>
                <w:lang w:val="en-US" w:eastAsia="zh-CN" w:bidi="ar-SA"/>
              </w:rPr>
              <w:t>5、</w:t>
            </w:r>
            <w:r>
              <w:rPr>
                <w:rFonts w:hint="eastAsia" w:ascii="宋体" w:hAnsi="宋体" w:cs="宋体"/>
                <w:color w:val="auto"/>
                <w:szCs w:val="24"/>
                <w:highlight w:val="none"/>
                <w:lang w:val="en-US" w:eastAsia="zh-CN"/>
              </w:rPr>
              <w:t>账号：2001 0048 3520 6660 0000 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highlight w:val="none"/>
              </w:rPr>
              <w:t>履约保证金</w:t>
            </w:r>
          </w:p>
        </w:tc>
        <w:tc>
          <w:tcPr>
            <w:tcW w:w="7333" w:type="dxa"/>
            <w:vAlign w:val="center"/>
          </w:tcPr>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履约保证金数额：成交价的2％</w:t>
            </w:r>
          </w:p>
          <w:p>
            <w:pPr>
              <w:pStyle w:val="100"/>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100"/>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100"/>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100"/>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100"/>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100"/>
              <w:pBdr>
                <w:bottom w:val="none" w:color="auto" w:sz="0" w:space="0"/>
              </w:pBdr>
              <w:tabs>
                <w:tab w:val="clear" w:pos="4153"/>
                <w:tab w:val="clear" w:pos="8306"/>
              </w:tabs>
              <w:adjustRightInd/>
              <w:spacing w:line="440" w:lineRule="exact"/>
              <w:jc w:val="both"/>
              <w:textAlignment w:val="auto"/>
              <w:rPr>
                <w:rFonts w:hint="default" w:ascii="宋体" w:hAnsi="宋体" w:eastAsia="宋体" w:cs="宋体"/>
                <w:color w:val="auto"/>
                <w:szCs w:val="24"/>
                <w:highlight w:val="none"/>
                <w:lang w:val="en-US"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供应商如果对本项目内容有相关疑问，可以以邮件形式（递交至邮箱</w:t>
            </w:r>
            <w:r>
              <w:rPr>
                <w:rFonts w:hint="eastAsia" w:ascii="宋体" w:hAnsi="宋体"/>
                <w:bCs/>
                <w:kern w:val="2"/>
                <w:szCs w:val="24"/>
                <w:lang w:val="en-US" w:eastAsia="zh-CN"/>
              </w:rPr>
              <w:t>1073819220</w:t>
            </w:r>
            <w:r>
              <w:rPr>
                <w:rFonts w:hint="eastAsia" w:ascii="宋体" w:hAnsi="宋体"/>
                <w:bCs/>
                <w:kern w:val="2"/>
                <w:szCs w:val="24"/>
              </w:rPr>
              <w:t>@qq.com）提出，对采购文件进行的澄清、更正或更改，将在</w:t>
            </w:r>
            <w:r>
              <w:rPr>
                <w:rFonts w:hint="eastAsia" w:ascii="宋体" w:hAnsi="宋体"/>
                <w:bCs/>
                <w:kern w:val="2"/>
                <w:szCs w:val="24"/>
                <w:lang w:eastAsia="zh-CN"/>
              </w:rPr>
              <w:t>安徽霍山国投集团网站（http://ahdmig.cn/）</w:t>
            </w:r>
            <w:r>
              <w:rPr>
                <w:rFonts w:hint="eastAsia" w:ascii="宋体" w:hAnsi="宋体"/>
                <w:bCs/>
                <w:kern w:val="2"/>
                <w:szCs w:val="24"/>
              </w:rPr>
              <w:t>上及时发布，该公告内容为采购文件的组成部分，对供应商具有同样约束力效力。供应商应主动上网查询，供应商须自行承担因未及时关注相关信息而引发的相关责任。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9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1、质疑提出具体步骤：供应商若对采购文件有关内容存在质疑，可通过电子邮箱（递交至邮箱</w:t>
            </w:r>
            <w:r>
              <w:rPr>
                <w:rFonts w:hint="eastAsia" w:ascii="宋体" w:hAnsi="宋体"/>
                <w:bCs/>
                <w:kern w:val="2"/>
                <w:szCs w:val="24"/>
                <w:lang w:val="en-US" w:eastAsia="zh-CN"/>
              </w:rPr>
              <w:t>1073819220</w:t>
            </w:r>
            <w:r>
              <w:rPr>
                <w:rFonts w:hint="eastAsia" w:ascii="宋体" w:hAnsi="宋体"/>
                <w:bCs/>
                <w:kern w:val="2"/>
                <w:szCs w:val="24"/>
              </w:rPr>
              <w:t>@qq.com）向采购人（采购代理机构）提出。质疑文件须</w:t>
            </w:r>
            <w:r>
              <w:rPr>
                <w:rFonts w:hint="eastAsia" w:ascii="宋体" w:hAnsi="宋体"/>
                <w:bCs/>
                <w:kern w:val="2"/>
                <w:szCs w:val="24"/>
                <w:lang w:val="en-US" w:eastAsia="zh-CN"/>
              </w:rPr>
              <w:t>参照</w:t>
            </w:r>
            <w:r>
              <w:rPr>
                <w:rFonts w:hint="eastAsia" w:ascii="宋体" w:hAnsi="宋体"/>
                <w:bCs/>
                <w:kern w:val="2"/>
                <w:szCs w:val="24"/>
              </w:rPr>
              <w:t>《政府采购质疑和投诉办法》（财政部令第94号）规定的要求制作（《质疑函》范本可通过“六安市公共资源交易中心（http://ggzy.luan.gov.cn）”-“政策法规”栏目下载），质疑文件不可匿名，须以附件形式加盖质疑人公章签章后扫描提交。</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kern w:val="2"/>
                <w:szCs w:val="24"/>
              </w:rPr>
            </w:pPr>
            <w:r>
              <w:rPr>
                <w:rFonts w:hint="eastAsia" w:ascii="宋体" w:hAnsi="宋体"/>
                <w:bCs/>
                <w:kern w:val="2"/>
                <w:szCs w:val="24"/>
              </w:rPr>
              <w:t>2、质疑答复获取具体步骤：采购人（采购代理机构）将通过邮箱于收到质疑文件后七个工作日内答复，请质疑人及时通过发出质疑的邮箱查收答疑文件。</w:t>
            </w:r>
          </w:p>
          <w:p>
            <w:pPr>
              <w:pStyle w:val="100"/>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lang w:val="en-US" w:eastAsia="zh-CN"/>
              </w:rPr>
              <w:t>3</w:t>
            </w:r>
            <w:r>
              <w:rPr>
                <w:rFonts w:hint="eastAsia" w:ascii="宋体" w:hAnsi="宋体"/>
                <w:bCs/>
                <w:kern w:val="2"/>
                <w:szCs w:val="24"/>
              </w:rPr>
              <w:t>、请各潜在供应商在响应截止时间前，务必</w:t>
            </w:r>
            <w:r>
              <w:rPr>
                <w:rFonts w:hint="eastAsia" w:ascii="宋体" w:hAnsi="宋体"/>
                <w:bCs/>
                <w:kern w:val="2"/>
                <w:szCs w:val="24"/>
                <w:lang w:val="en-US" w:eastAsia="zh-CN"/>
              </w:rPr>
              <w:t>查看</w:t>
            </w:r>
            <w:r>
              <w:rPr>
                <w:rFonts w:hint="eastAsia" w:ascii="宋体" w:hAnsi="宋体"/>
                <w:bCs/>
                <w:kern w:val="2"/>
                <w:szCs w:val="24"/>
                <w:lang w:eastAsia="zh-CN"/>
              </w:rPr>
              <w:t>安徽霍山</w:t>
            </w:r>
            <w:r>
              <w:rPr>
                <w:rFonts w:hint="eastAsia" w:ascii="宋体" w:hAnsi="宋体"/>
                <w:bCs/>
                <w:kern w:val="2"/>
                <w:szCs w:val="24"/>
              </w:rPr>
              <w:t>国投集团网站（http://ahdmig.cn/），查看是否发布有关项目更正公告。更正公告为发包文件的有效组成部分，一经发布即为视同已通知所有潜在供应商，若因未及时关注而造成的一切后果，由供应商自行承担。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响应文件要求</w:t>
            </w:r>
          </w:p>
        </w:tc>
        <w:tc>
          <w:tcPr>
            <w:tcW w:w="7333" w:type="dxa"/>
            <w:vAlign w:val="center"/>
          </w:tcPr>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正本：1份 ；副本：</w:t>
            </w:r>
            <w:r>
              <w:rPr>
                <w:rFonts w:hint="eastAsia"/>
                <w:lang w:val="en-US" w:eastAsia="zh-CN"/>
              </w:rPr>
              <w:t>3</w:t>
            </w:r>
            <w:r>
              <w:rPr>
                <w:rFonts w:hint="eastAsia"/>
              </w:rPr>
              <w:t>份</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要求：</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hint="eastAsia"/>
              </w:rPr>
            </w:pPr>
            <w:r>
              <w:rPr>
                <w:rFonts w:hint="eastAsia"/>
              </w:rPr>
              <w:t>1、响应文件正本/副本需要分别装订。</w:t>
            </w:r>
          </w:p>
          <w:p>
            <w:pPr>
              <w:pStyle w:val="100"/>
              <w:numPr>
                <w:ilvl w:val="0"/>
                <w:numId w:val="0"/>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rPr>
              <w:t>2、如果响应文件没有按规定装订、分装、标记和密封，采购人和代理机构不承担提前开封的责任。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333"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5"/>
              <w:keepNext w:val="0"/>
              <w:keepLines w:val="0"/>
              <w:pageBreakBefore w:val="0"/>
              <w:widowControl w:val="0"/>
              <w:kinsoku/>
              <w:wordWrap/>
              <w:overflowPunct/>
              <w:topLinePunct w:val="0"/>
              <w:autoSpaceDE/>
              <w:autoSpaceDN/>
              <w:bidi w:val="0"/>
              <w:adjustRightInd/>
              <w:snapToGrid/>
              <w:spacing w:line="360" w:lineRule="auto"/>
              <w:ind w:right="1178" w:firstLine="240" w:firstLineChars="100"/>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5"/>
              <w:keepNext w:val="0"/>
              <w:keepLines w:val="0"/>
              <w:pageBreakBefore w:val="0"/>
              <w:widowControl w:val="0"/>
              <w:kinsoku/>
              <w:wordWrap/>
              <w:overflowPunct/>
              <w:topLinePunct w:val="0"/>
              <w:autoSpaceDE/>
              <w:autoSpaceDN/>
              <w:bidi w:val="0"/>
              <w:adjustRightInd/>
              <w:snapToGrid/>
              <w:spacing w:line="360" w:lineRule="auto"/>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360" w:lineRule="auto"/>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862"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33" w:type="dxa"/>
            <w:vAlign w:val="center"/>
          </w:tcPr>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33"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Cs/>
                <w:color w:val="000000" w:themeColor="text1"/>
                <w:kern w:val="2"/>
                <w:szCs w:val="24"/>
                <w14:textFill>
                  <w14:solidFill>
                    <w14:schemeClr w14:val="tx1"/>
                  </w14:solidFill>
                </w14:textFill>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w:t>
            </w:r>
            <w:r>
              <w:rPr>
                <w:rFonts w:hint="eastAsia" w:ascii="宋体" w:hAnsi="宋体"/>
                <w:bCs/>
                <w:color w:val="000000" w:themeColor="text1"/>
                <w:kern w:val="2"/>
                <w:szCs w:val="24"/>
                <w14:textFill>
                  <w14:solidFill>
                    <w14:schemeClr w14:val="tx1"/>
                  </w14:solidFill>
                </w14:textFill>
              </w:rPr>
              <w:t>202</w:t>
            </w:r>
            <w:r>
              <w:rPr>
                <w:rFonts w:hint="eastAsia" w:ascii="宋体" w:hAnsi="宋体"/>
                <w:bCs/>
                <w:color w:val="000000" w:themeColor="text1"/>
                <w:kern w:val="2"/>
                <w:szCs w:val="24"/>
                <w:lang w:val="en-US" w:eastAsia="zh-CN"/>
                <w14:textFill>
                  <w14:solidFill>
                    <w14:schemeClr w14:val="tx1"/>
                  </w14:solidFill>
                </w14:textFill>
              </w:rPr>
              <w:t>3</w:t>
            </w:r>
            <w:r>
              <w:rPr>
                <w:rFonts w:hint="eastAsia" w:ascii="宋体" w:hAnsi="宋体"/>
                <w:bCs/>
                <w:color w:val="000000" w:themeColor="text1"/>
                <w:kern w:val="2"/>
                <w:szCs w:val="24"/>
                <w14:textFill>
                  <w14:solidFill>
                    <w14:schemeClr w14:val="tx1"/>
                  </w14:solidFill>
                </w14:textFill>
              </w:rPr>
              <w:t>年</w:t>
            </w:r>
            <w:r>
              <w:rPr>
                <w:rFonts w:hint="eastAsia" w:ascii="宋体" w:hAnsi="宋体"/>
                <w:bCs/>
                <w:color w:val="000000" w:themeColor="text1"/>
                <w:kern w:val="2"/>
                <w:szCs w:val="24"/>
                <w:lang w:val="en-US" w:eastAsia="zh-CN"/>
                <w14:textFill>
                  <w14:solidFill>
                    <w14:schemeClr w14:val="tx1"/>
                  </w14:solidFill>
                </w14:textFill>
              </w:rPr>
              <w:t>11</w:t>
            </w:r>
            <w:r>
              <w:rPr>
                <w:rFonts w:hint="eastAsia" w:ascii="宋体" w:hAnsi="宋体"/>
                <w:bCs/>
                <w:color w:val="000000" w:themeColor="text1"/>
                <w:kern w:val="2"/>
                <w:szCs w:val="24"/>
                <w14:textFill>
                  <w14:solidFill>
                    <w14:schemeClr w14:val="tx1"/>
                  </w14:solidFill>
                </w14:textFill>
              </w:rPr>
              <w:t>月</w:t>
            </w:r>
            <w:r>
              <w:rPr>
                <w:rFonts w:hint="eastAsia" w:ascii="宋体" w:hAnsi="宋体"/>
                <w:bCs/>
                <w:color w:val="000000" w:themeColor="text1"/>
                <w:kern w:val="2"/>
                <w:szCs w:val="24"/>
                <w:lang w:val="en-US" w:eastAsia="zh-CN"/>
                <w14:textFill>
                  <w14:solidFill>
                    <w14:schemeClr w14:val="tx1"/>
                  </w14:solidFill>
                </w14:textFill>
              </w:rPr>
              <w:t xml:space="preserve"> </w:t>
            </w:r>
            <w:r>
              <w:rPr>
                <w:rFonts w:hint="eastAsia" w:ascii="宋体" w:hAnsi="宋体"/>
                <w:bCs/>
                <w:color w:val="000000" w:themeColor="text1"/>
                <w:kern w:val="2"/>
                <w:szCs w:val="24"/>
                <w14:textFill>
                  <w14:solidFill>
                    <w14:schemeClr w14:val="tx1"/>
                  </w14:solidFill>
                </w14:textFill>
              </w:rPr>
              <w:t>日</w:t>
            </w:r>
            <w:r>
              <w:rPr>
                <w:rFonts w:hint="eastAsia" w:ascii="宋体" w:hAnsi="宋体"/>
                <w:bCs/>
                <w:color w:val="000000" w:themeColor="text1"/>
                <w:kern w:val="2"/>
                <w:szCs w:val="24"/>
                <w:lang w:val="en-US" w:eastAsia="zh-CN"/>
                <w14:textFill>
                  <w14:solidFill>
                    <w14:schemeClr w14:val="tx1"/>
                  </w14:solidFill>
                </w14:textFill>
              </w:rPr>
              <w:t>9</w:t>
            </w:r>
            <w:r>
              <w:rPr>
                <w:rFonts w:hint="eastAsia" w:ascii="宋体" w:hAnsi="宋体"/>
                <w:bCs/>
                <w:color w:val="000000" w:themeColor="text1"/>
                <w:kern w:val="2"/>
                <w:szCs w:val="24"/>
                <w14:textFill>
                  <w14:solidFill>
                    <w14:schemeClr w14:val="tx1"/>
                  </w14:solidFill>
                </w14:textFill>
              </w:rPr>
              <w:t>时</w:t>
            </w:r>
            <w:r>
              <w:rPr>
                <w:rFonts w:hint="eastAsia" w:ascii="宋体" w:hAnsi="宋体"/>
                <w:bCs/>
                <w:color w:val="000000" w:themeColor="text1"/>
                <w:kern w:val="2"/>
                <w:szCs w:val="24"/>
                <w:lang w:val="en-US" w:eastAsia="zh-CN"/>
                <w14:textFill>
                  <w14:solidFill>
                    <w14:schemeClr w14:val="tx1"/>
                  </w14:solidFill>
                </w14:textFill>
              </w:rPr>
              <w:t>0</w:t>
            </w:r>
            <w:r>
              <w:rPr>
                <w:rFonts w:hint="eastAsia" w:ascii="宋体" w:hAnsi="宋体"/>
                <w:bCs/>
                <w:color w:val="000000" w:themeColor="text1"/>
                <w:kern w:val="2"/>
                <w:szCs w:val="24"/>
                <w14:textFill>
                  <w14:solidFill>
                    <w14:schemeClr w14:val="tx1"/>
                  </w14:solidFill>
                </w14:textFill>
              </w:rPr>
              <w:t>0分</w:t>
            </w:r>
          </w:p>
          <w:p>
            <w:pPr>
              <w:pStyle w:val="100"/>
              <w:pBdr>
                <w:bottom w:val="none" w:color="auto" w:sz="0" w:space="0"/>
              </w:pBdr>
              <w:tabs>
                <w:tab w:val="clear" w:pos="4153"/>
                <w:tab w:val="clear" w:pos="8306"/>
              </w:tabs>
              <w:adjustRightInd/>
              <w:spacing w:line="440" w:lineRule="exact"/>
              <w:jc w:val="both"/>
              <w:textAlignment w:val="auto"/>
              <w:rPr>
                <w:rFonts w:ascii="宋体" w:hAnsi="宋体"/>
                <w:color w:val="auto"/>
                <w:szCs w:val="24"/>
                <w:lang w:val="en-US"/>
              </w:rPr>
            </w:pPr>
            <w:r>
              <w:rPr>
                <w:rFonts w:hint="eastAsia" w:ascii="宋体" w:hAnsi="宋体"/>
                <w:bCs/>
                <w:color w:val="000000" w:themeColor="text1"/>
                <w:kern w:val="2"/>
                <w:szCs w:val="24"/>
                <w14:textFill>
                  <w14:solidFill>
                    <w14:schemeClr w14:val="tx1"/>
                  </w14:solidFill>
                </w14:textFill>
              </w:rPr>
              <w:t>地点：安徽大别山工程咨询有限公司开标厅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19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21</w:t>
            </w:r>
          </w:p>
        </w:tc>
        <w:tc>
          <w:tcPr>
            <w:tcW w:w="1665"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Cs/>
                <w:kern w:val="2"/>
                <w:szCs w:val="24"/>
                <w:lang w:val="en-US" w:eastAsia="zh-CN"/>
              </w:rPr>
            </w:pPr>
            <w:r>
              <w:rPr>
                <w:rFonts w:hint="eastAsia" w:ascii="宋体" w:hAnsi="宋体"/>
                <w:bCs/>
                <w:kern w:val="2"/>
                <w:szCs w:val="24"/>
                <w:lang w:val="en-US" w:eastAsia="zh-CN"/>
              </w:rPr>
              <w:t>最高限价</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default" w:ascii="宋体" w:hAnsi="宋体"/>
                <w:bCs/>
                <w:color w:val="000000" w:themeColor="text1"/>
                <w:kern w:val="2"/>
                <w:szCs w:val="24"/>
                <w:lang w:val="en-US"/>
                <w14:textFill>
                  <w14:solidFill>
                    <w14:schemeClr w14:val="tx1"/>
                  </w14:solidFill>
                </w14:textFill>
              </w:rPr>
            </w:pPr>
            <w:r>
              <w:rPr>
                <w:rFonts w:hint="eastAsia" w:ascii="宋体" w:hAnsi="宋体" w:cs="宋体"/>
                <w:color w:val="auto"/>
                <w:szCs w:val="28"/>
                <w:lang w:val="en-US" w:eastAsia="zh-CN"/>
              </w:rPr>
              <w:t>玖万玖仟壹佰壹拾元伍角捌分</w:t>
            </w:r>
            <w:r>
              <w:rPr>
                <w:rFonts w:hint="eastAsia" w:ascii="宋体" w:hAnsi="宋体" w:eastAsia="宋体" w:cs="宋体"/>
                <w:color w:val="auto"/>
                <w:szCs w:val="28"/>
                <w:lang w:val="en-US" w:eastAsia="zh-CN"/>
              </w:rPr>
              <w:t>（</w:t>
            </w:r>
            <w:r>
              <w:rPr>
                <w:rFonts w:hint="eastAsia" w:ascii="宋体" w:hAnsi="宋体"/>
                <w:bCs/>
                <w:color w:val="000000" w:themeColor="text1"/>
                <w:kern w:val="2"/>
                <w:szCs w:val="24"/>
                <w:lang w:val="en-US" w:eastAsia="zh-CN"/>
                <w14:textFill>
                  <w14:solidFill>
                    <w14:schemeClr w14:val="tx1"/>
                  </w14:solidFill>
                </w14:textFill>
              </w:rPr>
              <w:t>￥99110.58元</w:t>
            </w:r>
            <w:r>
              <w:rPr>
                <w:rFonts w:hint="eastAsia" w:ascii="宋体" w:hAnsi="宋体" w:eastAsia="宋体" w:cs="宋体"/>
                <w:color w:val="auto"/>
                <w:szCs w:val="28"/>
                <w:lang w:val="en-US" w:eastAsia="zh-CN"/>
              </w:rPr>
              <w:t>），超过此限价的报价为无效报价。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333" w:type="dxa"/>
            <w:vAlign w:val="center"/>
          </w:tcPr>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adjustRightInd w:val="0"/>
              <w:snapToGrid w:val="0"/>
              <w:spacing w:line="380" w:lineRule="exac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、响应文件格式中标明需签字或盖章的位置均应按要求签字或盖章。委托代理人签字的，在响应文件中须同时提交授权委托书；授权委托书应符合响应文件格式要求，否则无效。</w:t>
            </w:r>
          </w:p>
          <w:p>
            <w:pPr>
              <w:pStyle w:val="100"/>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、农民工工资保证金执行《关于印发〈安徽省工程建设领域农民工工资保证金实施办法〉的通知(皖人社发[2022]8 号)》文规定，支持现金、保函等保证方式。</w:t>
            </w:r>
          </w:p>
          <w:p>
            <w:pPr>
              <w:pStyle w:val="100"/>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highlight w:val="none"/>
                <w:lang w:val="en-US" w:eastAsia="zh-CN"/>
              </w:rPr>
            </w:pPr>
            <w:r>
              <w:rPr>
                <w:rFonts w:hint="eastAsia" w:ascii="宋体" w:hAnsi="宋体" w:cs="宋体"/>
                <w:b/>
                <w:bCs/>
                <w:sz w:val="24"/>
                <w:szCs w:val="24"/>
                <w:highlight w:val="none"/>
                <w:lang w:val="en-US" w:eastAsia="zh-CN"/>
              </w:rPr>
              <w:t>4、施工费用中标后不予调整，通过该维修工程的实施，中标人应按约定确保所有设施设备能够正常使用并通过消防验收。若消防验收未通过，履约保证金不予退还。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74" w:hRule="atLeast"/>
          <w:jc w:val="center"/>
        </w:trPr>
        <w:tc>
          <w:tcPr>
            <w:tcW w:w="762" w:type="dxa"/>
            <w:vAlign w:val="center"/>
          </w:tcPr>
          <w:p>
            <w:pPr>
              <w:pStyle w:val="100"/>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665" w:type="dxa"/>
            <w:vAlign w:val="center"/>
          </w:tcPr>
          <w:p>
            <w:pPr>
              <w:pStyle w:val="100"/>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文件解释权</w:t>
            </w:r>
          </w:p>
        </w:tc>
        <w:tc>
          <w:tcPr>
            <w:tcW w:w="7333" w:type="dxa"/>
            <w:vAlign w:val="center"/>
          </w:tcPr>
          <w:p>
            <w:pPr>
              <w:pStyle w:val="100"/>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jc w:val="center"/>
        <w:rPr>
          <w:rFonts w:hint="eastAsia" w:ascii="宋体" w:hAnsi="宋体" w:eastAsia="宋体" w:cs="宋体"/>
          <w:b/>
          <w:kern w:val="0"/>
          <w:sz w:val="24"/>
          <w:szCs w:val="24"/>
          <w:lang w:val="en-US" w:eastAsia="zh-CN" w:bidi="ar-SA"/>
        </w:rPr>
      </w:pPr>
      <w:bookmarkStart w:id="88" w:name="_Toc7878"/>
    </w:p>
    <w:p>
      <w:pPr>
        <w:jc w:val="both"/>
        <w:rPr>
          <w:rFonts w:hint="eastAsia" w:ascii="宋体" w:hAnsi="宋体" w:eastAsia="宋体" w:cs="宋体"/>
          <w:b/>
          <w:kern w:val="0"/>
          <w:sz w:val="24"/>
          <w:szCs w:val="24"/>
          <w:lang w:val="en-US" w:eastAsia="zh-CN" w:bidi="ar-SA"/>
        </w:rPr>
      </w:pPr>
    </w:p>
    <w:p>
      <w:pPr>
        <w:jc w:val="center"/>
        <w:rPr>
          <w:rFonts w:ascii="宋体" w:hAnsi="宋体" w:eastAsia="宋体" w:cs="宋体"/>
          <w:sz w:val="24"/>
          <w:szCs w:val="24"/>
        </w:rPr>
      </w:pPr>
      <w:r>
        <w:rPr>
          <w:rFonts w:hint="eastAsia" w:ascii="宋体" w:hAnsi="宋体" w:eastAsia="宋体" w:cs="宋体"/>
          <w:b/>
          <w:kern w:val="0"/>
          <w:sz w:val="24"/>
          <w:szCs w:val="24"/>
          <w:lang w:val="en-US" w:eastAsia="zh-CN" w:bidi="ar-SA"/>
        </w:rPr>
        <w:t>（二）供应商资格</w:t>
      </w:r>
      <w:bookmarkEnd w:id="88"/>
    </w:p>
    <w:bookmarkEnd w:id="85"/>
    <w:p>
      <w:pPr>
        <w:pStyle w:val="35"/>
        <w:spacing w:after="0" w:line="430" w:lineRule="exact"/>
        <w:ind w:firstLine="480" w:firstLineChars="200"/>
        <w:jc w:val="center"/>
      </w:pPr>
      <w:bookmarkStart w:id="89" w:name="_Toc216158625"/>
      <w:bookmarkStart w:id="90" w:name="_Toc363199266"/>
      <w:bookmarkStart w:id="91" w:name="_Toc438648662"/>
      <w:r>
        <w:rPr>
          <w:rFonts w:hint="eastAsia"/>
        </w:rPr>
        <w:t>见本项目采购公告</w:t>
      </w:r>
    </w:p>
    <w:p>
      <w:pPr>
        <w:pStyle w:val="6"/>
        <w:spacing w:before="0" w:after="0" w:line="430" w:lineRule="exact"/>
        <w:jc w:val="center"/>
        <w:rPr>
          <w:rFonts w:ascii="宋体" w:hAnsi="宋体" w:eastAsia="宋体" w:cs="宋体"/>
          <w:sz w:val="24"/>
          <w:szCs w:val="24"/>
        </w:rPr>
      </w:pPr>
      <w:bookmarkStart w:id="92" w:name="_Toc27352"/>
      <w:r>
        <w:rPr>
          <w:rFonts w:hint="eastAsia" w:ascii="宋体" w:hAnsi="宋体" w:eastAsia="宋体" w:cs="宋体"/>
          <w:sz w:val="24"/>
          <w:szCs w:val="24"/>
        </w:rPr>
        <w:t>（三）供应商必须提交的响应文件内容</w:t>
      </w:r>
      <w:bookmarkEnd w:id="89"/>
      <w:bookmarkEnd w:id="90"/>
      <w:bookmarkEnd w:id="91"/>
      <w:bookmarkEnd w:id="92"/>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8、谈判文件要求和供应商认为需要提供的其它说明和资料</w:t>
      </w:r>
      <w:r>
        <w:rPr>
          <w:rFonts w:hint="eastAsia" w:ascii="宋体" w:hAnsi="宋体"/>
          <w:sz w:val="24"/>
          <w:szCs w:val="24"/>
          <w:lang w:eastAsia="zh-CN"/>
        </w:rPr>
        <w:t>；</w:t>
      </w:r>
    </w:p>
    <w:p>
      <w:pPr>
        <w:spacing w:line="430" w:lineRule="exact"/>
        <w:ind w:firstLine="480" w:firstLineChars="200"/>
        <w:jc w:val="left"/>
        <w:rPr>
          <w:rFonts w:hint="eastAsia" w:ascii="宋体" w:hAnsi="宋体" w:eastAsia="宋体"/>
          <w:sz w:val="24"/>
          <w:szCs w:val="24"/>
          <w:lang w:eastAsia="zh-CN"/>
        </w:rPr>
      </w:pPr>
      <w:r>
        <w:rPr>
          <w:rFonts w:hint="eastAsia" w:ascii="宋体" w:hAnsi="宋体"/>
          <w:sz w:val="24"/>
          <w:szCs w:val="24"/>
        </w:rPr>
        <w:t>9、最终承包报价书</w:t>
      </w:r>
      <w:r>
        <w:rPr>
          <w:rFonts w:hint="eastAsia" w:ascii="宋体" w:hAnsi="宋体"/>
          <w:sz w:val="24"/>
          <w:szCs w:val="24"/>
          <w:lang w:eastAsia="zh-CN"/>
        </w:rPr>
        <w:t>。</w:t>
      </w:r>
    </w:p>
    <w:p>
      <w:pPr>
        <w:pStyle w:val="6"/>
        <w:spacing w:before="0" w:after="0" w:line="430" w:lineRule="exact"/>
        <w:jc w:val="center"/>
        <w:rPr>
          <w:rFonts w:ascii="宋体" w:hAnsi="宋体" w:eastAsia="宋体" w:cs="宋体"/>
          <w:sz w:val="24"/>
          <w:szCs w:val="24"/>
        </w:rPr>
      </w:pPr>
      <w:bookmarkStart w:id="93" w:name="_Toc21125"/>
      <w:r>
        <w:rPr>
          <w:rFonts w:hint="eastAsia" w:ascii="宋体" w:hAnsi="宋体" w:eastAsia="宋体" w:cs="宋体"/>
          <w:sz w:val="24"/>
          <w:szCs w:val="24"/>
        </w:rPr>
        <w:t>（四）响应文件的提交</w:t>
      </w:r>
      <w:bookmarkEnd w:id="93"/>
    </w:p>
    <w:p>
      <w:pPr>
        <w:spacing w:line="430" w:lineRule="exact"/>
        <w:ind w:firstLine="480" w:firstLineChars="200"/>
        <w:rPr>
          <w:rFonts w:ascii="宋体" w:hAnsi="宋体"/>
          <w:sz w:val="24"/>
          <w:szCs w:val="24"/>
        </w:rPr>
      </w:pPr>
      <w:bookmarkStart w:id="94"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94"/>
    </w:p>
    <w:p>
      <w:pPr>
        <w:tabs>
          <w:tab w:val="left" w:pos="900"/>
        </w:tabs>
        <w:spacing w:line="430" w:lineRule="exact"/>
        <w:ind w:firstLine="480" w:firstLineChars="200"/>
        <w:rPr>
          <w:rFonts w:ascii="宋体" w:hAnsi="宋体"/>
          <w:sz w:val="24"/>
          <w:szCs w:val="24"/>
        </w:rPr>
      </w:pPr>
      <w:bookmarkStart w:id="95"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w:t>
      </w:r>
      <w:r>
        <w:rPr>
          <w:rFonts w:hint="eastAsia" w:ascii="宋体" w:hAnsi="宋体"/>
          <w:sz w:val="24"/>
          <w:szCs w:val="24"/>
          <w:lang w:val="en-US" w:eastAsia="zh-CN"/>
        </w:rPr>
        <w:t>4</w:t>
      </w:r>
      <w:r>
        <w:rPr>
          <w:rFonts w:hint="eastAsia" w:ascii="宋体" w:hAnsi="宋体"/>
          <w:sz w:val="24"/>
          <w:szCs w:val="24"/>
        </w:rPr>
        <w:t>）其他要求均符合采购文件规定。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w:t>
      </w:r>
      <w:r>
        <w:rPr>
          <w:rFonts w:hint="eastAsia" w:ascii="宋体" w:hAnsi="宋体"/>
          <w:sz w:val="24"/>
          <w:szCs w:val="24"/>
          <w:lang w:val="en-US" w:eastAsia="zh-CN"/>
        </w:rPr>
        <w:t>系统流程分别对各投标供应商发出指令</w:t>
      </w:r>
      <w:r>
        <w:rPr>
          <w:rFonts w:hint="eastAsia" w:ascii="宋体" w:hAnsi="宋体"/>
          <w:sz w:val="24"/>
          <w:szCs w:val="24"/>
        </w:rPr>
        <w:t>，与供应商分别进行谈判。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color w:val="auto"/>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w:t>
      </w:r>
      <w:r>
        <w:rPr>
          <w:rFonts w:hint="eastAsia" w:ascii="宋体" w:hAnsi="宋体"/>
          <w:b/>
          <w:bCs/>
          <w:color w:val="auto"/>
          <w:sz w:val="24"/>
          <w:szCs w:val="24"/>
        </w:rPr>
        <w:t>判小组规定的时间内提交最后的报价，则其前一轮报价即为该供应商最后的报价（后一轮报价不得高于前一轮报价，否则，报价无效）。</w:t>
      </w:r>
    </w:p>
    <w:p>
      <w:pPr>
        <w:tabs>
          <w:tab w:val="left" w:pos="900"/>
        </w:tabs>
        <w:spacing w:line="430" w:lineRule="exact"/>
        <w:ind w:firstLine="480" w:firstLineChars="200"/>
        <w:rPr>
          <w:rFonts w:hint="eastAsia" w:ascii="宋体" w:hAnsi="宋体"/>
          <w:b/>
          <w:bCs/>
          <w:color w:val="auto"/>
          <w:sz w:val="24"/>
          <w:szCs w:val="24"/>
          <w:highlight w:val="none"/>
          <w:lang w:val="en-US" w:eastAsia="zh-CN"/>
        </w:rPr>
      </w:pPr>
      <w:r>
        <w:rPr>
          <w:rFonts w:hint="eastAsia" w:ascii="宋体" w:hAnsi="宋体"/>
          <w:color w:val="auto"/>
          <w:sz w:val="24"/>
          <w:szCs w:val="24"/>
          <w:highlight w:val="none"/>
        </w:rPr>
        <w:t>7、供应商必须在规定的时间内将自己在谈判中作出的澄清、变动以及最终的报价，经法定代表人或被授权代表签字</w:t>
      </w:r>
      <w:r>
        <w:rPr>
          <w:rFonts w:hint="eastAsia" w:ascii="宋体" w:hAnsi="宋体"/>
          <w:color w:val="auto"/>
          <w:sz w:val="24"/>
          <w:szCs w:val="24"/>
          <w:highlight w:val="none"/>
          <w:lang w:val="en-US" w:eastAsia="zh-CN"/>
        </w:rPr>
        <w:t>或签章</w:t>
      </w:r>
      <w:r>
        <w:rPr>
          <w:rFonts w:hint="eastAsia" w:ascii="宋体" w:hAnsi="宋体"/>
          <w:color w:val="auto"/>
          <w:sz w:val="24"/>
          <w:szCs w:val="24"/>
          <w:highlight w:val="none"/>
        </w:rPr>
        <w:t>后，提交给谈判小组。</w:t>
      </w:r>
    </w:p>
    <w:p>
      <w:pPr>
        <w:pStyle w:val="6"/>
        <w:spacing w:before="0" w:after="0" w:line="430" w:lineRule="exact"/>
        <w:jc w:val="center"/>
        <w:rPr>
          <w:rFonts w:ascii="宋体" w:hAnsi="宋体" w:eastAsia="宋体" w:cs="宋体"/>
          <w:color w:val="auto"/>
          <w:sz w:val="24"/>
          <w:szCs w:val="24"/>
        </w:rPr>
      </w:pPr>
      <w:r>
        <w:rPr>
          <w:rFonts w:hint="eastAsia" w:ascii="宋体" w:hAnsi="宋体" w:eastAsia="宋体" w:cs="宋体"/>
          <w:color w:val="auto"/>
          <w:sz w:val="24"/>
          <w:szCs w:val="24"/>
        </w:rPr>
        <w:t>（六）评审及异常情况处理</w:t>
      </w:r>
      <w:bookmarkEnd w:id="95"/>
    </w:p>
    <w:bookmarkEnd w:id="86"/>
    <w:bookmarkEnd w:id="87"/>
    <w:p>
      <w:pPr>
        <w:spacing w:line="430" w:lineRule="exact"/>
        <w:ind w:firstLine="480" w:firstLineChars="200"/>
        <w:rPr>
          <w:rFonts w:ascii="宋体" w:hAnsi="宋体" w:cs="Arial"/>
          <w:sz w:val="24"/>
          <w:szCs w:val="24"/>
        </w:rPr>
      </w:pPr>
      <w:bookmarkStart w:id="96" w:name="_Toc18914"/>
      <w:r>
        <w:rPr>
          <w:rFonts w:hint="eastAsia" w:ascii="宋体" w:hAnsi="宋体"/>
          <w:color w:val="auto"/>
          <w:sz w:val="24"/>
          <w:szCs w:val="24"/>
        </w:rPr>
        <w:t>1、</w:t>
      </w:r>
      <w:r>
        <w:rPr>
          <w:rFonts w:hint="eastAsia" w:ascii="宋体" w:hAnsi="宋体" w:cs="Arial"/>
          <w:color w:val="auto"/>
          <w:sz w:val="24"/>
          <w:szCs w:val="24"/>
        </w:rPr>
        <w:t>谈判小组将遵循公平、公正的原则，对供应商最</w:t>
      </w:r>
      <w:r>
        <w:rPr>
          <w:rFonts w:hint="eastAsia" w:ascii="宋体" w:hAnsi="宋体" w:cs="Arial"/>
          <w:sz w:val="24"/>
          <w:szCs w:val="24"/>
        </w:rPr>
        <w:t>终提交的确认价进行综合评审，根据符合采购需求、质量和服务相等且报价最低的原则推荐出成交供应商。</w:t>
      </w:r>
    </w:p>
    <w:p>
      <w:pPr>
        <w:spacing w:line="43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43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spacing w:line="43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spacing w:line="43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spacing w:line="43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spacing w:line="430" w:lineRule="exact"/>
        <w:ind w:firstLine="480" w:firstLineChars="200"/>
        <w:rPr>
          <w:rFonts w:ascii="宋体" w:hAnsi="宋体"/>
          <w:sz w:val="24"/>
          <w:szCs w:val="24"/>
        </w:rPr>
      </w:pPr>
      <w:r>
        <w:rPr>
          <w:rFonts w:hint="eastAsia" w:ascii="宋体" w:hAnsi="宋体"/>
          <w:sz w:val="24"/>
          <w:szCs w:val="24"/>
        </w:rPr>
        <w:t>（5）因重大变故，采购任务取消的。</w:t>
      </w:r>
    </w:p>
    <w:p>
      <w:pPr>
        <w:spacing w:line="430" w:lineRule="exact"/>
        <w:ind w:firstLine="480" w:firstLineChars="200"/>
        <w:rPr>
          <w:rFonts w:ascii="宋体" w:hAnsi="宋体"/>
          <w:sz w:val="24"/>
          <w:szCs w:val="24"/>
        </w:rPr>
      </w:pPr>
      <w:r>
        <w:rPr>
          <w:rFonts w:hint="eastAsia" w:ascii="宋体" w:hAnsi="宋体"/>
          <w:sz w:val="24"/>
          <w:szCs w:val="24"/>
        </w:rPr>
        <w:t>3、重新组织谈判，采购单位将通过安徽霍山国投集团网站进行公告。</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96"/>
    </w:p>
    <w:p>
      <w:pPr>
        <w:spacing w:line="430" w:lineRule="exact"/>
        <w:ind w:firstLine="480" w:firstLineChars="200"/>
        <w:rPr>
          <w:rFonts w:ascii="宋体" w:hAnsi="宋体"/>
          <w:sz w:val="24"/>
          <w:szCs w:val="24"/>
        </w:rPr>
      </w:pPr>
      <w:bookmarkStart w:id="97" w:name="_Toc8394"/>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（八）合同的签订</w:t>
      </w:r>
      <w:bookmarkEnd w:id="97"/>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98" w:name="_Toc30371"/>
      <w:r>
        <w:rPr>
          <w:rFonts w:hint="eastAsia" w:ascii="宋体" w:hAnsi="宋体" w:eastAsia="宋体" w:cs="宋体"/>
          <w:sz w:val="24"/>
          <w:szCs w:val="24"/>
        </w:rPr>
        <w:t>（九）澄清及变更</w:t>
      </w:r>
      <w:bookmarkEnd w:id="98"/>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99" w:name="_Toc14936"/>
      <w:r>
        <w:rPr>
          <w:rFonts w:hint="eastAsia" w:ascii="宋体" w:hAnsi="宋体" w:eastAsia="宋体" w:cs="宋体"/>
          <w:sz w:val="24"/>
          <w:szCs w:val="24"/>
        </w:rPr>
        <w:t>（十）验收</w:t>
      </w:r>
      <w:bookmarkEnd w:id="99"/>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100" w:name="_Toc24748"/>
      <w:r>
        <w:rPr>
          <w:rFonts w:hint="eastAsia" w:ascii="宋体" w:hAnsi="宋体"/>
          <w:sz w:val="24"/>
          <w:szCs w:val="24"/>
        </w:rPr>
        <w:t>1、采购人应当在项目完成且收到供应商验收申请后 5个工作日内组织开展履约验收。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100"/>
    </w:p>
    <w:p>
      <w:pPr>
        <w:spacing w:line="430" w:lineRule="exact"/>
        <w:ind w:firstLine="480" w:firstLineChars="200"/>
        <w:rPr>
          <w:rFonts w:ascii="宋体" w:hAnsi="宋体"/>
          <w:bCs/>
          <w:sz w:val="24"/>
        </w:rPr>
      </w:pPr>
      <w:bookmarkStart w:id="101"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hint="eastAsia"/>
          <w:b/>
          <w:bCs/>
          <w:sz w:val="32"/>
          <w:szCs w:val="32"/>
          <w:lang w:val="en-US" w:eastAsia="zh-CN"/>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bookmarkEnd w:id="101"/>
      <w:bookmarkStart w:id="102" w:name="_Toc363199273"/>
    </w:p>
    <w:p>
      <w:pPr>
        <w:pStyle w:val="5"/>
        <w:bidi w:val="0"/>
        <w:jc w:val="center"/>
        <w:rPr>
          <w:rFonts w:hint="eastAsia"/>
          <w:b/>
          <w:bCs/>
          <w:sz w:val="32"/>
          <w:szCs w:val="32"/>
          <w:lang w:val="en-US" w:eastAsia="zh-CN"/>
        </w:rPr>
      </w:pPr>
    </w:p>
    <w:p>
      <w:pPr>
        <w:pStyle w:val="5"/>
        <w:bidi w:val="0"/>
        <w:jc w:val="center"/>
        <w:rPr>
          <w:rFonts w:ascii="宋体" w:hAnsi="宋体" w:eastAsia="宋体" w:cs="宋体"/>
          <w:b/>
          <w:sz w:val="32"/>
          <w:szCs w:val="32"/>
        </w:rPr>
      </w:pPr>
      <w:r>
        <w:rPr>
          <w:rFonts w:hint="eastAsia"/>
          <w:b/>
          <w:bCs/>
          <w:sz w:val="32"/>
          <w:szCs w:val="32"/>
          <w:lang w:val="en-US" w:eastAsia="zh-CN"/>
        </w:rPr>
        <w:t xml:space="preserve">第三章 </w:t>
      </w:r>
      <w:bookmarkStart w:id="103" w:name="_Toc18672"/>
      <w:bookmarkStart w:id="104" w:name="_Toc24684"/>
      <w:r>
        <w:rPr>
          <w:rFonts w:hint="eastAsia" w:ascii="宋体" w:hAnsi="宋体" w:eastAsia="宋体" w:cs="宋体"/>
          <w:b/>
          <w:sz w:val="32"/>
          <w:szCs w:val="32"/>
        </w:rPr>
        <w:t>合同条款</w:t>
      </w:r>
    </w:p>
    <w:p>
      <w:pPr>
        <w:pStyle w:val="5"/>
        <w:bidi w:val="0"/>
        <w:jc w:val="center"/>
        <w:rPr>
          <w:rFonts w:hint="eastAsia"/>
          <w:b/>
          <w:bCs/>
          <w:sz w:val="32"/>
          <w:szCs w:val="32"/>
          <w:lang w:val="en-US" w:eastAsia="zh-CN"/>
        </w:rPr>
      </w:pPr>
      <w:r>
        <w:rPr>
          <w:rFonts w:hint="eastAsia" w:ascii="宋体" w:hAnsi="宋体" w:eastAsia="宋体" w:cs="Times New Roman"/>
          <w:kern w:val="2"/>
          <w:sz w:val="24"/>
          <w:szCs w:val="24"/>
          <w:lang w:val="en-US" w:eastAsia="zh-CN" w:bidi="ar-SA"/>
        </w:rPr>
        <w:t>（双方自行拟定，但不得违背谈判文件实质性内容）</w:t>
      </w:r>
    </w:p>
    <w:p>
      <w:pPr>
        <w:pStyle w:val="5"/>
        <w:bidi w:val="0"/>
        <w:jc w:val="both"/>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pStyle w:val="5"/>
        <w:bidi w:val="0"/>
        <w:jc w:val="center"/>
        <w:rPr>
          <w:rFonts w:hint="eastAsia"/>
          <w:b/>
          <w:bCs/>
          <w:sz w:val="32"/>
          <w:szCs w:val="32"/>
          <w:lang w:val="en-US" w:eastAsia="zh-CN"/>
        </w:rPr>
      </w:pPr>
    </w:p>
    <w:p>
      <w:pPr>
        <w:rPr>
          <w:rFonts w:hint="eastAsia"/>
          <w:b/>
          <w:bCs/>
          <w:sz w:val="32"/>
          <w:szCs w:val="32"/>
          <w:lang w:val="en-US" w:eastAsia="zh-CN"/>
        </w:rPr>
      </w:pPr>
      <w:r>
        <w:rPr>
          <w:rFonts w:hint="eastAsia"/>
          <w:b/>
          <w:bCs/>
          <w:sz w:val="32"/>
          <w:szCs w:val="32"/>
          <w:lang w:val="en-US" w:eastAsia="zh-CN"/>
        </w:rPr>
        <w:br w:type="page"/>
      </w:r>
    </w:p>
    <w:p>
      <w:pPr>
        <w:pStyle w:val="5"/>
        <w:bidi w:val="0"/>
        <w:jc w:val="center"/>
        <w:rPr>
          <w:rFonts w:hint="eastAsia"/>
          <w:b/>
          <w:bCs/>
          <w:sz w:val="32"/>
          <w:szCs w:val="32"/>
          <w:lang w:val="en-US" w:eastAsia="zh-CN"/>
        </w:rPr>
      </w:pPr>
      <w:r>
        <w:rPr>
          <w:rFonts w:hint="eastAsia"/>
          <w:b/>
          <w:bCs/>
          <w:sz w:val="32"/>
          <w:szCs w:val="32"/>
          <w:lang w:val="en-US" w:eastAsia="zh-CN"/>
        </w:rPr>
        <w:t>第四章  采购需求</w:t>
      </w:r>
      <w:bookmarkEnd w:id="103"/>
      <w:bookmarkEnd w:id="104"/>
    </w:p>
    <w:p>
      <w:pPr>
        <w:pStyle w:val="2"/>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spacing w:line="430" w:lineRule="exact"/>
        <w:ind w:firstLine="560" w:firstLineChars="200"/>
        <w:rPr>
          <w:rFonts w:ascii="宋体" w:hAnsi="宋体" w:cs="宋体"/>
          <w:sz w:val="28"/>
          <w:szCs w:val="28"/>
        </w:rPr>
      </w:pPr>
    </w:p>
    <w:p>
      <w:pPr>
        <w:pStyle w:val="5"/>
        <w:bidi w:val="0"/>
        <w:jc w:val="center"/>
        <w:rPr>
          <w:rFonts w:hint="eastAsia"/>
          <w:b/>
          <w:bCs/>
          <w:sz w:val="32"/>
          <w:szCs w:val="28"/>
          <w:lang w:val="en-US" w:eastAsia="zh-CN"/>
        </w:rPr>
      </w:pPr>
      <w:bookmarkStart w:id="105" w:name="_Toc12600"/>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p>
      <w:pPr>
        <w:pStyle w:val="5"/>
        <w:bidi w:val="0"/>
        <w:jc w:val="center"/>
        <w:rPr>
          <w:rFonts w:hint="eastAsia"/>
          <w:b/>
          <w:bCs/>
          <w:sz w:val="32"/>
          <w:szCs w:val="28"/>
          <w:lang w:val="en-US" w:eastAsia="zh-CN"/>
        </w:rPr>
      </w:pPr>
    </w:p>
    <w:bookmarkEnd w:id="105"/>
    <w:p>
      <w:pPr>
        <w:spacing w:line="500" w:lineRule="exact"/>
        <w:jc w:val="center"/>
        <w:rPr>
          <w:rFonts w:ascii="宋体" w:hAnsi="宋体"/>
          <w:b/>
          <w:sz w:val="32"/>
        </w:rPr>
      </w:pPr>
    </w:p>
    <w:p>
      <w:pPr>
        <w:spacing w:line="500" w:lineRule="exact"/>
        <w:jc w:val="center"/>
        <w:rPr>
          <w:rFonts w:hint="eastAsia" w:ascii="宋体" w:hAnsi="宋体"/>
          <w:b/>
          <w:sz w:val="32"/>
          <w:u w:val="single"/>
        </w:rPr>
      </w:pPr>
    </w:p>
    <w:p>
      <w:pPr>
        <w:pStyle w:val="5"/>
        <w:bidi w:val="0"/>
        <w:jc w:val="center"/>
        <w:rPr>
          <w:rFonts w:hint="eastAsia" w:ascii="宋体" w:hAnsi="宋体"/>
          <w:b/>
          <w:sz w:val="32"/>
          <w:u w:val="single"/>
        </w:rPr>
      </w:pPr>
      <w:r>
        <w:rPr>
          <w:rFonts w:hint="eastAsia"/>
          <w:b/>
          <w:bCs/>
          <w:sz w:val="32"/>
          <w:szCs w:val="28"/>
          <w:lang w:val="en-US" w:eastAsia="zh-CN"/>
        </w:rPr>
        <w:t>第五章  响应文件格式</w:t>
      </w: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102"/>
    <w:p>
      <w:pPr>
        <w:pStyle w:val="6"/>
        <w:spacing w:before="0" w:after="0" w:line="560" w:lineRule="exact"/>
        <w:jc w:val="center"/>
        <w:rPr>
          <w:rFonts w:ascii="宋体" w:hAnsi="宋体" w:eastAsia="宋体" w:cs="宋体"/>
          <w:sz w:val="24"/>
          <w:szCs w:val="24"/>
        </w:rPr>
      </w:pPr>
      <w:bookmarkStart w:id="106" w:name="_Toc3949"/>
      <w:r>
        <w:rPr>
          <w:rFonts w:hint="eastAsia" w:ascii="宋体" w:hAnsi="宋体" w:eastAsia="宋体" w:cs="宋体"/>
          <w:sz w:val="24"/>
          <w:szCs w:val="24"/>
        </w:rPr>
        <w:t>响应文件资料清单</w:t>
      </w:r>
      <w:bookmarkEnd w:id="106"/>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5"/>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5"/>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hint="eastAsia" w:ascii="Tahoma" w:hAnsi="Tahoma" w:eastAsia="宋体"/>
                <w:sz w:val="24"/>
                <w:lang w:val="en-US" w:eastAsia="zh-CN"/>
              </w:rPr>
            </w:pPr>
            <w:r>
              <w:rPr>
                <w:rFonts w:hint="eastAsia" w:ascii="Tahoma" w:hAnsi="Tahoma"/>
                <w:sz w:val="24"/>
                <w:lang w:val="en-US" w:eastAsia="zh-CN"/>
              </w:rPr>
              <w:t>九</w:t>
            </w:r>
          </w:p>
        </w:tc>
        <w:tc>
          <w:tcPr>
            <w:tcW w:w="6038" w:type="dxa"/>
            <w:vAlign w:val="center"/>
          </w:tcPr>
          <w:p>
            <w:pPr>
              <w:rPr>
                <w:rFonts w:hint="eastAsia" w:ascii="宋体" w:hAnsi="宋体" w:eastAsia="宋体" w:cs="宋体"/>
                <w:sz w:val="24"/>
                <w:lang w:val="en-US" w:eastAsia="zh-CN"/>
              </w:rPr>
            </w:pPr>
            <w:r>
              <w:rPr>
                <w:rFonts w:hint="eastAsia" w:ascii="宋体" w:hAnsi="宋体" w:cs="宋体"/>
                <w:sz w:val="24"/>
                <w:szCs w:val="24"/>
              </w:rPr>
              <w:t>最终承包报价书</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107" w:name="_Toc970"/>
      <w:r>
        <w:rPr>
          <w:rFonts w:hint="eastAsia" w:ascii="宋体" w:hAnsi="宋体" w:eastAsia="宋体" w:cs="宋体"/>
          <w:sz w:val="24"/>
          <w:szCs w:val="24"/>
        </w:rPr>
        <w:t>附件一</w:t>
      </w:r>
      <w:bookmarkEnd w:id="107"/>
    </w:p>
    <w:p>
      <w:pPr>
        <w:pStyle w:val="6"/>
        <w:spacing w:before="0" w:after="0" w:line="560" w:lineRule="exact"/>
        <w:ind w:firstLine="482" w:firstLineChars="200"/>
        <w:jc w:val="center"/>
        <w:rPr>
          <w:rFonts w:ascii="宋体" w:hAnsi="宋体" w:eastAsia="宋体" w:cs="宋体"/>
          <w:sz w:val="24"/>
          <w:szCs w:val="24"/>
        </w:rPr>
      </w:pPr>
      <w:bookmarkStart w:id="108" w:name="_Toc5601"/>
      <w:bookmarkStart w:id="109" w:name="_Toc10816"/>
      <w:bookmarkStart w:id="110" w:name="_Toc6891"/>
      <w:r>
        <w:rPr>
          <w:rFonts w:hint="eastAsia" w:ascii="宋体" w:hAnsi="宋体" w:eastAsia="宋体" w:cs="宋体"/>
          <w:sz w:val="24"/>
          <w:szCs w:val="24"/>
        </w:rPr>
        <w:t>报价单</w:t>
      </w:r>
      <w:bookmarkEnd w:id="108"/>
      <w:bookmarkEnd w:id="109"/>
    </w:p>
    <w:tbl>
      <w:tblPr>
        <w:tblStyle w:val="3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r>
              <w:rPr>
                <w:rFonts w:hint="eastAsia" w:ascii="宋体" w:hAnsi="宋体" w:cs="宋体"/>
                <w:bCs/>
                <w:sz w:val="24"/>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r>
              <w:rPr>
                <w:rFonts w:hint="eastAsia" w:ascii="宋体" w:hAnsi="宋体" w:cs="宋体"/>
                <w:bCs/>
                <w:sz w:val="24"/>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jc w:val="center"/>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p>
            <w:pPr>
              <w:spacing w:line="560" w:lineRule="exact"/>
              <w:rPr>
                <w:rFonts w:hint="eastAsia" w:ascii="宋体" w:hAnsi="宋体" w:cs="宋体"/>
                <w:sz w:val="24"/>
                <w:szCs w:val="24"/>
                <w:lang w:eastAsia="zh-CN"/>
              </w:rPr>
            </w:pPr>
          </w:p>
          <w:p>
            <w:pPr>
              <w:spacing w:line="560" w:lineRule="exact"/>
              <w:rPr>
                <w:rFonts w:ascii="宋体" w:hAnsi="宋体" w:cs="宋体"/>
                <w:bCs/>
                <w:sz w:val="24"/>
              </w:rPr>
            </w:pP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（精确到小数点后两位，可编辑）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bidi w:val="0"/>
        <w:spacing w:line="360" w:lineRule="auto"/>
        <w:ind w:firstLine="482" w:firstLineChars="200"/>
        <w:jc w:val="left"/>
        <w:rPr>
          <w:rFonts w:hint="eastAsia" w:ascii="宋体" w:hAnsi="宋体" w:eastAsia="宋体" w:cs="宋体"/>
          <w:b/>
          <w:bCs/>
          <w:sz w:val="24"/>
          <w:szCs w:val="22"/>
          <w:lang w:val="en-US" w:eastAsia="zh-CN"/>
        </w:rPr>
      </w:pPr>
    </w:p>
    <w:p>
      <w:pPr>
        <w:pStyle w:val="30"/>
        <w:rPr>
          <w:rFonts w:hint="default"/>
          <w:lang w:val="en-US"/>
        </w:rPr>
      </w:pPr>
      <w:r>
        <w:rPr>
          <w:rFonts w:hint="eastAsia" w:ascii="宋体" w:hAnsi="宋体" w:cs="宋体"/>
          <w:b/>
          <w:bCs/>
          <w:sz w:val="24"/>
          <w:szCs w:val="22"/>
          <w:lang w:val="en-US" w:eastAsia="zh-CN"/>
        </w:rPr>
        <w:t xml:space="preserve">     </w:t>
      </w: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rPr>
          <w:rFonts w:ascii="宋体" w:hAnsi="宋体" w:eastAsia="宋体" w:cs="宋体"/>
          <w:sz w:val="24"/>
          <w:szCs w:val="24"/>
        </w:rPr>
      </w:pPr>
      <w:r>
        <w:rPr>
          <w:rFonts w:hint="eastAsia" w:ascii="宋体" w:hAnsi="宋体" w:eastAsia="宋体" w:cs="宋体"/>
          <w:sz w:val="24"/>
          <w:szCs w:val="24"/>
        </w:rPr>
        <w:t>2、已标价工程量清单</w:t>
      </w:r>
    </w:p>
    <w:p>
      <w:pPr>
        <w:pStyle w:val="35"/>
        <w:spacing w:line="520" w:lineRule="exact"/>
        <w:ind w:firstLine="480" w:firstLineChars="200"/>
        <w:rPr>
          <w:rFonts w:hint="eastAsia" w:ascii="宋体" w:hAnsi="宋体" w:eastAsia="宋体"/>
          <w:bCs/>
          <w:szCs w:val="24"/>
          <w:lang w:eastAsia="zh-CN"/>
        </w:rPr>
      </w:pPr>
      <w:r>
        <w:rPr>
          <w:rFonts w:hint="eastAsia" w:ascii="宋体" w:hAnsi="宋体"/>
          <w:bCs/>
          <w:szCs w:val="24"/>
        </w:rPr>
        <w:t>格式详见工程量清单，分项报价应与总价一致，总价应与报价单响应报价金额一致</w:t>
      </w:r>
      <w:r>
        <w:rPr>
          <w:rFonts w:hint="eastAsia" w:ascii="宋体" w:hAnsi="宋体"/>
          <w:bCs/>
          <w:szCs w:val="24"/>
          <w:lang w:eastAsia="zh-CN"/>
        </w:rPr>
        <w:t>。</w:t>
      </w:r>
    </w:p>
    <w:p>
      <w:pPr>
        <w:rPr>
          <w:rFonts w:hint="eastAsia" w:ascii="宋体" w:hAnsi="宋体" w:eastAsia="宋体" w:cs="宋体"/>
          <w:sz w:val="24"/>
          <w:szCs w:val="24"/>
        </w:rPr>
      </w:pPr>
    </w:p>
    <w:p>
      <w:pPr>
        <w:rPr>
          <w:rFonts w:ascii="宋体" w:hAnsi="宋体" w:eastAsia="宋体" w:cs="宋体"/>
          <w:b/>
          <w:bCs/>
          <w:sz w:val="24"/>
          <w:szCs w:val="24"/>
        </w:rPr>
      </w:pPr>
      <w:r>
        <w:rPr>
          <w:rFonts w:hint="eastAsia" w:ascii="宋体" w:hAnsi="宋体" w:eastAsia="宋体" w:cs="宋体"/>
          <w:b/>
          <w:bCs/>
          <w:sz w:val="24"/>
          <w:szCs w:val="24"/>
        </w:rPr>
        <w:t>附件二</w:t>
      </w:r>
      <w:bookmarkEnd w:id="110"/>
    </w:p>
    <w:p>
      <w:pPr>
        <w:pStyle w:val="6"/>
        <w:spacing w:before="0" w:after="0" w:line="560" w:lineRule="exact"/>
        <w:jc w:val="center"/>
        <w:rPr>
          <w:rFonts w:ascii="宋体" w:hAnsi="宋体" w:eastAsia="宋体" w:cs="宋体"/>
          <w:sz w:val="24"/>
          <w:szCs w:val="24"/>
        </w:rPr>
      </w:pPr>
      <w:bookmarkStart w:id="111" w:name="_Toc17280"/>
      <w:bookmarkStart w:id="112" w:name="_Toc31020"/>
      <w:r>
        <w:rPr>
          <w:rFonts w:hint="eastAsia" w:ascii="宋体" w:hAnsi="宋体" w:eastAsia="宋体" w:cs="宋体"/>
          <w:sz w:val="24"/>
          <w:szCs w:val="24"/>
        </w:rPr>
        <w:t>供应商基本信息</w:t>
      </w:r>
      <w:bookmarkEnd w:id="111"/>
      <w:bookmarkEnd w:id="112"/>
    </w:p>
    <w:p>
      <w:pPr>
        <w:pStyle w:val="35"/>
        <w:spacing w:line="520" w:lineRule="exact"/>
        <w:ind w:firstLine="480" w:firstLineChars="200"/>
      </w:pPr>
      <w:r>
        <w:rPr>
          <w:rFonts w:hint="eastAsia" w:ascii="宋体" w:hAnsi="宋体"/>
          <w:szCs w:val="24"/>
        </w:rPr>
        <w:t>后附营业执照、资质证书、安全生产许可证、项目经理建造师证书、项目经理安全生产考核合格证书、</w:t>
      </w:r>
      <w:r>
        <w:rPr>
          <w:rFonts w:hint="eastAsia" w:ascii="宋体" w:hAnsi="宋体"/>
          <w:szCs w:val="24"/>
          <w:lang w:eastAsia="zh-CN"/>
        </w:rPr>
        <w:t>采购文件要求的</w:t>
      </w:r>
      <w:r>
        <w:rPr>
          <w:rFonts w:hint="eastAsia" w:ascii="宋体" w:hAnsi="宋体"/>
          <w:szCs w:val="24"/>
        </w:rPr>
        <w:t>项目班子</w:t>
      </w:r>
      <w:r>
        <w:rPr>
          <w:rFonts w:hint="eastAsia" w:ascii="宋体" w:hAnsi="宋体"/>
          <w:szCs w:val="24"/>
          <w:lang w:eastAsia="zh-CN"/>
        </w:rPr>
        <w:t>其他</w:t>
      </w:r>
      <w:r>
        <w:rPr>
          <w:rFonts w:hint="eastAsia" w:ascii="宋体" w:hAnsi="宋体"/>
          <w:szCs w:val="24"/>
        </w:rPr>
        <w:t>材料等</w:t>
      </w:r>
      <w:r>
        <w:rPr>
          <w:rFonts w:hint="eastAsia" w:ascii="宋体" w:hAnsi="宋体"/>
          <w:szCs w:val="24"/>
          <w:lang w:eastAsia="zh-CN"/>
        </w:rPr>
        <w:t>证明</w:t>
      </w:r>
      <w:r>
        <w:rPr>
          <w:rFonts w:hint="eastAsia" w:ascii="宋体" w:hAnsi="宋体"/>
          <w:szCs w:val="24"/>
        </w:rPr>
        <w:t>资料原件复印件或打印件。</w:t>
      </w:r>
    </w:p>
    <w:p>
      <w:pPr>
        <w:pStyle w:val="6"/>
        <w:wordWrap w:val="0"/>
        <w:spacing w:before="0" w:after="0" w:line="560" w:lineRule="exact"/>
        <w:rPr>
          <w:rFonts w:ascii="宋体" w:hAnsi="宋体" w:eastAsia="宋体" w:cs="宋体"/>
          <w:sz w:val="24"/>
          <w:szCs w:val="24"/>
        </w:rPr>
      </w:pPr>
      <w:bookmarkStart w:id="113" w:name="_Toc30812"/>
      <w:r>
        <w:rPr>
          <w:rFonts w:hint="eastAsia" w:ascii="宋体" w:hAnsi="宋体" w:eastAsia="宋体" w:cs="宋体"/>
          <w:sz w:val="24"/>
          <w:szCs w:val="24"/>
        </w:rPr>
        <w:t>附件三</w:t>
      </w:r>
      <w:bookmarkEnd w:id="113"/>
    </w:p>
    <w:p>
      <w:pPr>
        <w:pStyle w:val="6"/>
        <w:spacing w:before="0" w:after="0" w:line="560" w:lineRule="exact"/>
        <w:jc w:val="center"/>
        <w:rPr>
          <w:rFonts w:ascii="宋体" w:hAnsi="宋体" w:eastAsia="宋体" w:cs="宋体"/>
          <w:sz w:val="24"/>
          <w:szCs w:val="24"/>
        </w:rPr>
      </w:pPr>
      <w:bookmarkStart w:id="114" w:name="_Toc3234"/>
      <w:bookmarkStart w:id="115" w:name="_Toc10696"/>
      <w:r>
        <w:rPr>
          <w:rFonts w:hint="eastAsia" w:ascii="宋体" w:hAnsi="宋体" w:eastAsia="宋体" w:cs="宋体"/>
          <w:sz w:val="24"/>
          <w:szCs w:val="24"/>
        </w:rPr>
        <w:t>谈判授权书</w:t>
      </w:r>
      <w:bookmarkEnd w:id="114"/>
      <w:bookmarkEnd w:id="115"/>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116"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30"/>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pStyle w:val="35"/>
        <w:ind w:left="0" w:leftChars="0" w:firstLine="0" w:firstLineChars="0"/>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hint="eastAsia" w:ascii="宋体" w:hAnsi="宋体" w:cs="黑体"/>
          <w:sz w:val="28"/>
          <w:szCs w:val="28"/>
        </w:rPr>
      </w:pPr>
      <w:r>
        <w:rPr>
          <w:rFonts w:hint="eastAsia" w:ascii="宋体" w:hAnsi="宋体" w:cs="宋体"/>
          <w:b/>
          <w:sz w:val="24"/>
          <w:szCs w:val="24"/>
        </w:rPr>
        <w:t>2、法定代表人参加投标的无需提供谈判授权书，仅提供法定代表人身份证明及联系方式即可。</w:t>
      </w:r>
    </w:p>
    <w:p>
      <w:pPr>
        <w:jc w:val="center"/>
        <w:rPr>
          <w:rFonts w:hint="eastAsia" w:ascii="宋体" w:hAnsi="宋体" w:cs="黑体"/>
          <w:b/>
          <w:bCs/>
          <w:sz w:val="28"/>
          <w:szCs w:val="28"/>
        </w:rPr>
      </w:pPr>
    </w:p>
    <w:p>
      <w:pPr>
        <w:jc w:val="center"/>
        <w:rPr>
          <w:rFonts w:ascii="宋体" w:cs="黑体"/>
          <w:b/>
          <w:bCs/>
          <w:sz w:val="28"/>
          <w:szCs w:val="28"/>
        </w:rPr>
      </w:pPr>
      <w:r>
        <w:rPr>
          <w:rFonts w:hint="eastAsia" w:ascii="宋体" w:hAnsi="宋体" w:cs="黑体"/>
          <w:b/>
          <w:bCs/>
          <w:sz w:val="28"/>
          <w:szCs w:val="28"/>
        </w:rPr>
        <w:t>法定代表人身份证明</w:t>
      </w: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30"/>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Pr>
        <w:pStyle w:val="6"/>
        <w:spacing w:before="0" w:after="0" w:line="560" w:lineRule="exact"/>
        <w:outlineLvl w:val="9"/>
        <w:rPr>
          <w:rFonts w:ascii="宋体" w:hAnsi="宋体" w:eastAsia="宋体" w:cs="宋体"/>
          <w:sz w:val="24"/>
          <w:szCs w:val="24"/>
        </w:rPr>
      </w:pPr>
    </w:p>
    <w:p/>
    <w:p>
      <w:pPr>
        <w:pStyle w:val="6"/>
        <w:spacing w:before="0" w:after="0" w:line="560" w:lineRule="exact"/>
        <w:rPr>
          <w:rFonts w:hint="eastAsia" w:ascii="宋体" w:hAnsi="宋体" w:eastAsia="宋体" w:cs="宋体"/>
          <w:sz w:val="24"/>
          <w:szCs w:val="24"/>
        </w:rPr>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116"/>
    </w:p>
    <w:p>
      <w:pPr>
        <w:pStyle w:val="6"/>
        <w:spacing w:before="0" w:after="0" w:line="560" w:lineRule="exact"/>
        <w:jc w:val="center"/>
        <w:rPr>
          <w:rFonts w:ascii="宋体" w:hAnsi="宋体" w:eastAsia="宋体" w:cs="宋体"/>
          <w:sz w:val="24"/>
          <w:szCs w:val="24"/>
        </w:rPr>
      </w:pPr>
      <w:bookmarkStart w:id="117"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outlineLvl w:val="9"/>
        <w:rPr>
          <w:sz w:val="24"/>
          <w:szCs w:val="24"/>
          <w:lang w:val="en-US"/>
        </w:rPr>
      </w:pPr>
    </w:p>
    <w:p/>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18" w:name="_Toc30069"/>
      <w:r>
        <w:rPr>
          <w:rFonts w:hint="eastAsia" w:ascii="宋体" w:hAnsi="宋体" w:eastAsia="宋体" w:cs="宋体"/>
          <w:sz w:val="24"/>
          <w:szCs w:val="24"/>
        </w:rPr>
        <w:t>附件</w:t>
      </w:r>
      <w:bookmarkEnd w:id="117"/>
      <w:r>
        <w:rPr>
          <w:rFonts w:hint="eastAsia" w:ascii="宋体" w:hAnsi="宋体" w:eastAsia="宋体" w:cs="宋体"/>
          <w:sz w:val="24"/>
          <w:szCs w:val="24"/>
        </w:rPr>
        <w:t>五</w:t>
      </w:r>
      <w:bookmarkEnd w:id="118"/>
    </w:p>
    <w:p>
      <w:pPr>
        <w:pStyle w:val="35"/>
        <w:ind w:firstLine="2891" w:firstLineChars="1200"/>
        <w:rPr>
          <w:rFonts w:ascii="宋体" w:hAnsi="宋体" w:cs="宋体"/>
          <w:b/>
          <w:szCs w:val="24"/>
          <w:lang w:val="zh-CN"/>
        </w:rPr>
      </w:pPr>
      <w:bookmarkStart w:id="119" w:name="_Hlk77794441"/>
      <w:bookmarkStart w:id="120" w:name="_Hlk77793942"/>
      <w:bookmarkStart w:id="121" w:name="_Toc363199274"/>
      <w:r>
        <w:rPr>
          <w:rFonts w:hint="eastAsia" w:ascii="宋体" w:hAnsi="宋体" w:cs="宋体"/>
          <w:b/>
          <w:szCs w:val="24"/>
          <w:lang w:val="zh-CN"/>
        </w:rPr>
        <w:t>无重大违法记录声明函</w:t>
      </w:r>
    </w:p>
    <w:p>
      <w:pPr>
        <w:pStyle w:val="35"/>
        <w:ind w:firstLine="480" w:firstLineChars="200"/>
        <w:rPr>
          <w:rFonts w:ascii="宋体" w:hAnsi="宋体"/>
          <w:szCs w:val="24"/>
        </w:rPr>
      </w:pPr>
      <w:bookmarkStart w:id="122"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122"/>
    <w:p>
      <w:pPr>
        <w:pStyle w:val="35"/>
        <w:ind w:firstLine="210"/>
      </w:pPr>
    </w:p>
    <w:p>
      <w:pPr>
        <w:pStyle w:val="35"/>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123"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119"/>
    <w:bookmarkEnd w:id="123"/>
    <w:p>
      <w:pPr>
        <w:pStyle w:val="35"/>
        <w:ind w:firstLine="210"/>
      </w:pPr>
    </w:p>
    <w:bookmarkEnd w:id="120"/>
    <w:p>
      <w:pPr>
        <w:pStyle w:val="35"/>
        <w:ind w:firstLine="210"/>
      </w:pPr>
    </w:p>
    <w:p>
      <w:pPr>
        <w:pStyle w:val="6"/>
        <w:spacing w:before="0" w:after="0" w:line="560" w:lineRule="exact"/>
        <w:outlineLvl w:val="9"/>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124" w:name="_Toc11207"/>
      <w:r>
        <w:rPr>
          <w:rFonts w:hint="eastAsia" w:ascii="宋体" w:hAnsi="宋体" w:eastAsia="宋体" w:cs="宋体"/>
          <w:sz w:val="24"/>
          <w:szCs w:val="24"/>
        </w:rPr>
        <w:t>附件</w:t>
      </w:r>
      <w:bookmarkEnd w:id="121"/>
      <w:r>
        <w:rPr>
          <w:rFonts w:hint="eastAsia" w:ascii="宋体" w:hAnsi="宋体" w:eastAsia="宋体" w:cs="宋体"/>
          <w:sz w:val="24"/>
          <w:szCs w:val="24"/>
        </w:rPr>
        <w:t>六</w:t>
      </w:r>
      <w:bookmarkEnd w:id="124"/>
    </w:p>
    <w:p>
      <w:pPr>
        <w:pStyle w:val="6"/>
        <w:spacing w:before="0" w:after="0" w:line="560" w:lineRule="exact"/>
        <w:jc w:val="center"/>
        <w:rPr>
          <w:rFonts w:ascii="宋体" w:hAnsi="宋体" w:eastAsia="宋体" w:cs="宋体"/>
          <w:sz w:val="24"/>
          <w:szCs w:val="24"/>
          <w:lang w:val="zh-CN"/>
        </w:rPr>
      </w:pPr>
      <w:bookmarkStart w:id="125" w:name="_Toc25238"/>
      <w:bookmarkStart w:id="126" w:name="_Toc11166"/>
      <w:r>
        <w:rPr>
          <w:rFonts w:hint="eastAsia" w:ascii="宋体" w:hAnsi="宋体" w:eastAsia="宋体" w:cs="宋体"/>
          <w:sz w:val="24"/>
          <w:szCs w:val="24"/>
          <w:lang w:val="zh-CN"/>
        </w:rPr>
        <w:t>响应情况表</w:t>
      </w:r>
      <w:bookmarkEnd w:id="125"/>
      <w:bookmarkEnd w:id="126"/>
    </w:p>
    <w:p>
      <w:pPr>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127"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lang w:eastAsia="zh-CN"/>
              </w:rPr>
              <w:t>服务</w:t>
            </w:r>
            <w:r>
              <w:rPr>
                <w:rFonts w:hint="eastAsia" w:ascii="宋体" w:hAnsi="宋体" w:cs="宋体"/>
                <w:sz w:val="24"/>
                <w:szCs w:val="24"/>
              </w:rPr>
              <w:t>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outlineLvl w:val="9"/>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28" w:name="_Toc12917"/>
      <w:r>
        <w:rPr>
          <w:rFonts w:hint="eastAsia" w:ascii="宋体" w:hAnsi="宋体" w:eastAsia="宋体" w:cs="宋体"/>
          <w:sz w:val="24"/>
          <w:szCs w:val="24"/>
        </w:rPr>
        <w:t>附件</w:t>
      </w:r>
      <w:bookmarkEnd w:id="127"/>
      <w:r>
        <w:rPr>
          <w:rFonts w:hint="eastAsia" w:ascii="宋体" w:hAnsi="宋体" w:eastAsia="宋体" w:cs="宋体"/>
          <w:sz w:val="24"/>
          <w:szCs w:val="24"/>
        </w:rPr>
        <w:t>七</w:t>
      </w:r>
      <w:bookmarkEnd w:id="128"/>
      <w:bookmarkStart w:id="129" w:name="_Toc26763"/>
      <w:bookmarkStart w:id="130" w:name="_Toc18625"/>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ind w:firstLine="3132" w:firstLineChars="1300"/>
        <w:jc w:val="both"/>
        <w:rPr>
          <w:rFonts w:ascii="宋体" w:hAnsi="宋体" w:eastAsia="宋体" w:cs="宋体"/>
          <w:sz w:val="24"/>
          <w:szCs w:val="24"/>
        </w:rPr>
      </w:pPr>
      <w:r>
        <w:rPr>
          <w:rFonts w:hint="eastAsia" w:ascii="宋体" w:hAnsi="宋体" w:eastAsia="宋体" w:cs="宋体"/>
          <w:sz w:val="24"/>
          <w:szCs w:val="24"/>
        </w:rPr>
        <w:t>相关服务承诺函</w:t>
      </w:r>
      <w:bookmarkEnd w:id="129"/>
      <w:bookmarkEnd w:id="130"/>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31"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35"/>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6"/>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p>
    <w:p>
      <w:pPr>
        <w:widowControl/>
        <w:adjustRightInd w:val="0"/>
        <w:snapToGrid w:val="0"/>
        <w:spacing w:line="500" w:lineRule="exact"/>
        <w:jc w:val="left"/>
        <w:rPr>
          <w:rFonts w:hint="eastAsia" w:ascii="宋体" w:hAnsi="宋体" w:eastAsia="宋体" w:cs="宋体"/>
          <w:color w:val="auto"/>
          <w:kern w:val="0"/>
          <w:szCs w:val="21"/>
          <w:lang w:val="en-US" w:eastAsia="zh-CN"/>
        </w:rPr>
      </w:pP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Cs w:val="21"/>
        </w:rPr>
      </w:pPr>
      <w:r>
        <w:rPr>
          <w:rFonts w:hint="eastAsia" w:ascii="宋体" w:hAnsi="宋体" w:cs="宋体"/>
          <w:color w:val="auto"/>
          <w:kern w:val="0"/>
          <w:szCs w:val="21"/>
        </w:rPr>
        <w:t xml:space="preserve">              </w:t>
      </w:r>
    </w:p>
    <w:p>
      <w:pPr>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 xml:space="preserve">   </w:t>
      </w:r>
    </w:p>
    <w:p>
      <w:pPr>
        <w:jc w:val="center"/>
        <w:rPr>
          <w:rFonts w:hint="eastAsia" w:ascii="宋体" w:hAnsi="宋体" w:cs="宋体"/>
          <w:color w:val="auto"/>
          <w:kern w:val="0"/>
          <w:szCs w:val="21"/>
        </w:rPr>
      </w:pPr>
    </w:p>
    <w:p>
      <w:pPr>
        <w:jc w:val="both"/>
        <w:rPr>
          <w:rStyle w:val="61"/>
          <w:rFonts w:ascii="宋体" w:hAnsi="宋体" w:eastAsia="宋体" w:cs="宋体"/>
          <w:sz w:val="24"/>
          <w:szCs w:val="24"/>
        </w:rPr>
      </w:pPr>
      <w:r>
        <w:rPr>
          <w:rStyle w:val="61"/>
          <w:rFonts w:hint="eastAsia" w:ascii="宋体" w:hAnsi="宋体" w:eastAsia="宋体" w:cs="宋体"/>
          <w:sz w:val="24"/>
          <w:szCs w:val="24"/>
        </w:rPr>
        <w:br w:type="page"/>
      </w:r>
    </w:p>
    <w:p>
      <w:pPr>
        <w:pStyle w:val="6"/>
        <w:spacing w:before="0" w:after="0" w:line="560" w:lineRule="exact"/>
        <w:outlineLvl w:val="0"/>
        <w:rPr>
          <w:rFonts w:hint="eastAsia" w:ascii="宋体" w:hAnsi="宋体" w:eastAsia="宋体" w:cs="宋体"/>
          <w:sz w:val="24"/>
          <w:szCs w:val="24"/>
          <w:lang w:val="en-US" w:eastAsia="zh-CN"/>
        </w:rPr>
      </w:pPr>
      <w:bookmarkStart w:id="132" w:name="_Toc3426"/>
      <w:bookmarkStart w:id="133" w:name="_Toc24870"/>
      <w:bookmarkStart w:id="134" w:name="_Toc23323"/>
      <w:r>
        <w:rPr>
          <w:rFonts w:hint="eastAsia" w:ascii="宋体" w:hAnsi="宋体" w:eastAsia="宋体" w:cs="宋体"/>
          <w:sz w:val="24"/>
          <w:szCs w:val="24"/>
        </w:rPr>
        <w:t>附件八</w:t>
      </w:r>
      <w:bookmarkEnd w:id="132"/>
      <w:bookmarkEnd w:id="133"/>
      <w:bookmarkEnd w:id="134"/>
      <w:r>
        <w:rPr>
          <w:rFonts w:hint="eastAsia" w:ascii="宋体" w:hAnsi="宋体" w:eastAsia="宋体" w:cs="宋体"/>
          <w:sz w:val="24"/>
          <w:szCs w:val="24"/>
          <w:lang w:val="en-US" w:eastAsia="zh-CN"/>
        </w:rPr>
        <w:t xml:space="preserve">  </w:t>
      </w:r>
    </w:p>
    <w:p>
      <w:pPr>
        <w:jc w:val="center"/>
        <w:rPr>
          <w:rFonts w:hint="default"/>
          <w:lang w:val="en-US" w:eastAsia="zh-CN"/>
        </w:rPr>
      </w:pPr>
      <w:bookmarkStart w:id="135" w:name="_Toc19723"/>
      <w:bookmarkStart w:id="136" w:name="_Toc28850"/>
      <w:r>
        <w:rPr>
          <w:rFonts w:hint="eastAsia" w:ascii="宋体" w:hAnsi="宋体" w:eastAsia="宋体" w:cs="宋体"/>
          <w:b/>
          <w:bCs w:val="0"/>
          <w:sz w:val="24"/>
          <w:szCs w:val="24"/>
        </w:rPr>
        <w:t>谈判文件要求和供应商认为需要提供的其它说明和资料</w:t>
      </w:r>
      <w:bookmarkEnd w:id="135"/>
      <w:bookmarkEnd w:id="136"/>
    </w:p>
    <w:bookmarkEnd w:id="131"/>
    <w:p>
      <w:pPr>
        <w:pStyle w:val="6"/>
        <w:spacing w:before="0" w:after="0" w:line="560" w:lineRule="exact"/>
        <w:outlineLvl w:val="0"/>
        <w:rPr>
          <w:rFonts w:hint="eastAsia" w:ascii="宋体" w:hAnsi="宋体" w:eastAsia="宋体" w:cs="宋体"/>
          <w:sz w:val="24"/>
          <w:szCs w:val="24"/>
        </w:rPr>
      </w:pPr>
      <w:bookmarkStart w:id="137" w:name="_Toc5314"/>
      <w:bookmarkStart w:id="138" w:name="_Toc23763"/>
      <w:bookmarkStart w:id="139" w:name="_Toc29011"/>
      <w:bookmarkStart w:id="140" w:name="_Toc3566"/>
    </w:p>
    <w:p>
      <w:pPr>
        <w:pStyle w:val="6"/>
        <w:spacing w:before="0" w:after="0" w:line="560" w:lineRule="exact"/>
        <w:outlineLvl w:val="0"/>
        <w:rPr>
          <w:rStyle w:val="116"/>
          <w:rFonts w:hint="eastAsia" w:ascii="宋体" w:hAnsi="宋体" w:eastAsia="宋体" w:cs="宋体"/>
          <w:b/>
          <w:sz w:val="24"/>
          <w:szCs w:val="24"/>
        </w:rPr>
      </w:pPr>
      <w:r>
        <w:rPr>
          <w:rFonts w:hint="eastAsia" w:ascii="宋体" w:hAnsi="宋体" w:eastAsia="宋体" w:cs="宋体"/>
          <w:sz w:val="24"/>
          <w:szCs w:val="24"/>
        </w:rPr>
        <w:t>附件九</w:t>
      </w:r>
      <w:bookmarkEnd w:id="137"/>
      <w:bookmarkEnd w:id="138"/>
      <w:r>
        <w:rPr>
          <w:rFonts w:hint="eastAsia" w:ascii="宋体" w:hAnsi="宋体" w:eastAsia="宋体" w:cs="宋体"/>
          <w:sz w:val="24"/>
          <w:szCs w:val="24"/>
          <w:lang w:val="en-US" w:eastAsia="zh-CN"/>
        </w:rPr>
        <w:t xml:space="preserve">                      </w:t>
      </w:r>
      <w:r>
        <w:rPr>
          <w:rStyle w:val="116"/>
          <w:rFonts w:hint="eastAsia" w:ascii="宋体" w:hAnsi="宋体" w:eastAsia="宋体" w:cs="宋体"/>
          <w:b/>
          <w:sz w:val="24"/>
          <w:szCs w:val="24"/>
        </w:rPr>
        <w:t>最终承包报价书</w:t>
      </w:r>
      <w:bookmarkEnd w:id="139"/>
      <w:bookmarkEnd w:id="140"/>
      <w:r>
        <w:rPr>
          <w:rStyle w:val="116"/>
          <w:rFonts w:hint="eastAsia" w:ascii="宋体" w:hAnsi="宋体" w:eastAsia="宋体" w:cs="宋体"/>
          <w:b/>
          <w:sz w:val="24"/>
          <w:szCs w:val="24"/>
        </w:rPr>
        <w:t xml:space="preserve"> </w:t>
      </w:r>
    </w:p>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0"/>
        <w:rPr>
          <w:rFonts w:ascii="宋体" w:hAnsi="宋体" w:eastAsia="宋体" w:cs="宋体"/>
          <w:b/>
          <w:bCs/>
          <w:sz w:val="24"/>
          <w:szCs w:val="24"/>
          <w:lang w:val="zh-CN" w:eastAsia="zh-CN" w:bidi="zh-CN"/>
        </w:rPr>
      </w:pPr>
      <w:bookmarkStart w:id="141" w:name="_Toc10060"/>
      <w:bookmarkStart w:id="142" w:name="_Toc15157"/>
      <w:r>
        <w:rPr>
          <w:rFonts w:ascii="宋体" w:hAnsi="宋体" w:eastAsia="宋体" w:cs="宋体"/>
          <w:b/>
          <w:bCs/>
          <w:sz w:val="24"/>
          <w:szCs w:val="24"/>
          <w:lang w:val="zh-CN" w:eastAsia="zh-CN" w:bidi="zh-CN"/>
        </w:rPr>
        <w:t>（某项目第</w:t>
      </w:r>
      <w:r>
        <w:rPr>
          <w:rFonts w:ascii="宋体" w:hAnsi="宋体" w:eastAsia="宋体" w:cs="宋体"/>
          <w:b/>
          <w:bCs/>
          <w:sz w:val="24"/>
          <w:szCs w:val="24"/>
          <w:u w:val="single"/>
          <w:lang w:val="zh-CN" w:eastAsia="zh-CN" w:bidi="zh-CN"/>
        </w:rPr>
        <w:t xml:space="preserve"> </w:t>
      </w:r>
      <w:r>
        <w:rPr>
          <w:rFonts w:ascii="宋体" w:hAnsi="宋体" w:eastAsia="宋体" w:cs="宋体"/>
          <w:b/>
          <w:bCs/>
          <w:sz w:val="24"/>
          <w:szCs w:val="24"/>
          <w:u w:val="single"/>
          <w:lang w:val="zh-CN" w:eastAsia="zh-CN" w:bidi="zh-CN"/>
        </w:rPr>
        <w:tab/>
      </w:r>
      <w:r>
        <w:rPr>
          <w:rFonts w:ascii="宋体" w:hAnsi="宋体" w:eastAsia="宋体" w:cs="宋体"/>
          <w:b/>
          <w:bCs/>
          <w:sz w:val="24"/>
          <w:szCs w:val="24"/>
          <w:lang w:val="zh-CN" w:eastAsia="zh-CN" w:bidi="zh-CN"/>
        </w:rPr>
        <w:t>次报价书）</w:t>
      </w:r>
      <w:bookmarkEnd w:id="141"/>
      <w:bookmarkEnd w:id="142"/>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u w:val="single"/>
          <w:lang w:val="zh-CN" w:eastAsia="zh-CN" w:bidi="zh-CN"/>
        </w:rPr>
      </w:pPr>
      <w:bookmarkStart w:id="143" w:name="_Toc480"/>
      <w:bookmarkStart w:id="144" w:name="_Toc3457"/>
      <w:r>
        <w:rPr>
          <w:rFonts w:ascii="宋体" w:hAnsi="宋体" w:eastAsia="宋体" w:cs="宋体"/>
          <w:b/>
          <w:bCs/>
          <w:sz w:val="24"/>
          <w:szCs w:val="24"/>
          <w:lang w:val="zh-CN" w:eastAsia="zh-CN" w:bidi="zh-CN"/>
        </w:rPr>
        <w:t>项目名称：</w:t>
      </w:r>
      <w:bookmarkEnd w:id="143"/>
      <w:bookmarkEnd w:id="144"/>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0"/>
        <w:rPr>
          <w:rFonts w:ascii="宋体" w:hAnsi="宋体" w:eastAsia="宋体" w:cs="宋体"/>
          <w:b/>
          <w:bCs/>
          <w:sz w:val="24"/>
          <w:szCs w:val="24"/>
          <w:lang w:val="zh-CN" w:eastAsia="zh-CN" w:bidi="zh-CN"/>
        </w:rPr>
      </w:pPr>
      <w:bookmarkStart w:id="145" w:name="_Toc8982"/>
      <w:bookmarkStart w:id="146" w:name="_Toc20389"/>
      <w:r>
        <w:rPr>
          <w:rFonts w:ascii="宋体" w:hAnsi="宋体" w:eastAsia="宋体" w:cs="宋体"/>
          <w:b/>
          <w:bCs/>
          <w:sz w:val="24"/>
          <w:szCs w:val="24"/>
          <w:lang w:val="zh-CN" w:eastAsia="zh-CN" w:bidi="zh-CN"/>
        </w:rPr>
        <w:t>项目编号：</w:t>
      </w:r>
      <w:bookmarkEnd w:id="145"/>
      <w:bookmarkEnd w:id="146"/>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1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eastAsia" w:ascii="宋体" w:hAnsi="宋体" w:cs="宋体"/>
                <w:sz w:val="24"/>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right="0" w:firstLine="720" w:firstLineChars="30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en-US" w:eastAsia="zh-CN" w:bidi="zh-CN"/>
              </w:rPr>
              <w:t>小写</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5"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本页《最终承包报价书》由供应商在依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w:t>
      </w:r>
      <w:r>
        <w:rPr>
          <w:rFonts w:hint="eastAsia" w:asciiTheme="minorEastAsia" w:hAnsiTheme="minorEastAsia" w:eastAsiaTheme="minorEastAsia" w:cstheme="minorEastAsia"/>
          <w:b/>
          <w:bCs/>
          <w:sz w:val="24"/>
          <w:szCs w:val="22"/>
          <w:lang w:val="en-US" w:eastAsia="zh-CN"/>
        </w:rPr>
        <w:t>填好后传至系统</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Theme="minorEastAsia" w:hAnsiTheme="minorEastAsia" w:eastAsiaTheme="minorEastAsia" w:cstheme="minorEastAsia"/>
          <w:b/>
          <w:bCs/>
          <w:sz w:val="24"/>
          <w:szCs w:val="22"/>
          <w:lang w:val="en-US" w:eastAsia="zh-CN"/>
        </w:rPr>
      </w:pPr>
      <w:r>
        <w:rPr>
          <w:rFonts w:hint="eastAsia" w:asciiTheme="minorEastAsia" w:hAnsiTheme="minorEastAsia" w:eastAsiaTheme="minorEastAsia" w:cstheme="minorEastAsia"/>
          <w:b/>
          <w:bCs/>
          <w:sz w:val="24"/>
          <w:szCs w:val="22"/>
          <w:lang w:val="en-US" w:eastAsia="zh-CN"/>
        </w:rPr>
        <w:t>2、最终报价单位为元，最多保留两位小数。</w:t>
      </w:r>
    </w:p>
    <w:p/>
    <w:sectPr>
      <w:headerReference r:id="rId5" w:type="default"/>
      <w:footerReference r:id="rId7" w:type="default"/>
      <w:headerReference r:id="rId6" w:type="even"/>
      <w:footerReference r:id="rId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34F93AB-5F3A-4FB1-BEE0-1CDE3B4D01C3}"/>
  </w:font>
  <w:font w:name="黑体">
    <w:panose1 w:val="02010609060101010101"/>
    <w:charset w:val="86"/>
    <w:family w:val="auto"/>
    <w:pitch w:val="default"/>
    <w:sig w:usb0="800002BF" w:usb1="38CF7CFA" w:usb2="00000016" w:usb3="00000000" w:csb0="00040001" w:csb1="00000000"/>
    <w:embedRegular r:id="rId2" w:fontKey="{911C016F-EA3E-4DFF-9776-3740BEBEE5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733FCD04-A107-4ABA-BB32-69E63868B3D4}"/>
  </w:font>
  <w:font w:name="仿宋_GB2312">
    <w:panose1 w:val="02010609030101010101"/>
    <w:charset w:val="86"/>
    <w:family w:val="auto"/>
    <w:pitch w:val="default"/>
    <w:sig w:usb0="00000001" w:usb1="080E0000" w:usb2="00000000" w:usb3="00000000" w:csb0="00040000" w:csb1="00000000"/>
    <w:embedRegular r:id="rId4" w:fontKey="{32492A74-E1FE-425F-8187-2CEF6FF584A1}"/>
  </w:font>
  <w:font w:name="楷体_GB2312">
    <w:altName w:val="楷体"/>
    <w:panose1 w:val="02010609030101010101"/>
    <w:charset w:val="86"/>
    <w:family w:val="modern"/>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F18AB569-4CD5-42C9-9B3E-8000547D34A2}"/>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4F15C6D5-1FF1-4F87-B16D-D12D19209BA5}"/>
  </w:font>
  <w:font w:name="华文中宋">
    <w:panose1 w:val="02010600040101010101"/>
    <w:charset w:val="86"/>
    <w:family w:val="auto"/>
    <w:pitch w:val="default"/>
    <w:sig w:usb0="00000287" w:usb1="080F0000" w:usb2="00000000" w:usb3="00000000" w:csb0="0004009F" w:csb1="DFD70000"/>
    <w:embedRegular r:id="rId7" w:fontKey="{7229445E-2085-418D-B10E-1D00346C2B28}"/>
  </w:font>
  <w:font w:name="方正小标宋简体">
    <w:panose1 w:val="03000509000000000000"/>
    <w:charset w:val="86"/>
    <w:family w:val="auto"/>
    <w:pitch w:val="default"/>
    <w:sig w:usb0="00000001" w:usb1="080E0000" w:usb2="00000000" w:usb3="00000000" w:csb0="00040000" w:csb1="00000000"/>
    <w:embedRegular r:id="rId8" w:fontKey="{85CB9F08-6527-42F1-8738-2C567C113CF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U5NzM3M2JhNGFjMDJhZWIxZDEyODlmYjJhNjQwYzQ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893F2F"/>
    <w:rsid w:val="078C18B4"/>
    <w:rsid w:val="07A060FF"/>
    <w:rsid w:val="07A20F5E"/>
    <w:rsid w:val="07B56B19"/>
    <w:rsid w:val="08316AA1"/>
    <w:rsid w:val="0834567D"/>
    <w:rsid w:val="085E5B1B"/>
    <w:rsid w:val="08B903E4"/>
    <w:rsid w:val="08B975E0"/>
    <w:rsid w:val="08D76796"/>
    <w:rsid w:val="094A1A48"/>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CAA47CE"/>
    <w:rsid w:val="0CEC43CA"/>
    <w:rsid w:val="0D0B67CA"/>
    <w:rsid w:val="0D50431A"/>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51770AE"/>
    <w:rsid w:val="153136E9"/>
    <w:rsid w:val="153B2049"/>
    <w:rsid w:val="15602773"/>
    <w:rsid w:val="15614DA8"/>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C878F2"/>
    <w:rsid w:val="18CE5F64"/>
    <w:rsid w:val="18D31697"/>
    <w:rsid w:val="18FB18A3"/>
    <w:rsid w:val="19102702"/>
    <w:rsid w:val="192B2CC7"/>
    <w:rsid w:val="1945415A"/>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C13400"/>
    <w:rsid w:val="1DC817B3"/>
    <w:rsid w:val="1DE5157B"/>
    <w:rsid w:val="1DF15284"/>
    <w:rsid w:val="1E071163"/>
    <w:rsid w:val="1E0A2DCB"/>
    <w:rsid w:val="1E0E3958"/>
    <w:rsid w:val="1E5F77E6"/>
    <w:rsid w:val="1E6746D1"/>
    <w:rsid w:val="1E8B72FC"/>
    <w:rsid w:val="1ED653AA"/>
    <w:rsid w:val="1F0C54A8"/>
    <w:rsid w:val="1F171CFB"/>
    <w:rsid w:val="1F3C13B6"/>
    <w:rsid w:val="1F4B49D6"/>
    <w:rsid w:val="1FCB070D"/>
    <w:rsid w:val="1FD06805"/>
    <w:rsid w:val="1FF85069"/>
    <w:rsid w:val="200E7FC4"/>
    <w:rsid w:val="20D81D57"/>
    <w:rsid w:val="20E916A5"/>
    <w:rsid w:val="20F41885"/>
    <w:rsid w:val="2163607F"/>
    <w:rsid w:val="21993B18"/>
    <w:rsid w:val="21F7620D"/>
    <w:rsid w:val="22230DB0"/>
    <w:rsid w:val="22464B8D"/>
    <w:rsid w:val="229A201B"/>
    <w:rsid w:val="22AF6AE8"/>
    <w:rsid w:val="22B26978"/>
    <w:rsid w:val="22B67E76"/>
    <w:rsid w:val="233A2855"/>
    <w:rsid w:val="23771CF3"/>
    <w:rsid w:val="239974D6"/>
    <w:rsid w:val="23E266D0"/>
    <w:rsid w:val="23E4618A"/>
    <w:rsid w:val="23F2091A"/>
    <w:rsid w:val="244E3D8C"/>
    <w:rsid w:val="24880227"/>
    <w:rsid w:val="249B20D5"/>
    <w:rsid w:val="24B335CE"/>
    <w:rsid w:val="24F009A8"/>
    <w:rsid w:val="25965543"/>
    <w:rsid w:val="259E42F0"/>
    <w:rsid w:val="25EF0E4B"/>
    <w:rsid w:val="26326C48"/>
    <w:rsid w:val="26690388"/>
    <w:rsid w:val="26784054"/>
    <w:rsid w:val="269C26E3"/>
    <w:rsid w:val="26F97002"/>
    <w:rsid w:val="270D6E87"/>
    <w:rsid w:val="272E2D63"/>
    <w:rsid w:val="27410CB9"/>
    <w:rsid w:val="276D441A"/>
    <w:rsid w:val="27704503"/>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6C37C8"/>
    <w:rsid w:val="2B930796"/>
    <w:rsid w:val="2BFA65A3"/>
    <w:rsid w:val="2C101F53"/>
    <w:rsid w:val="2C8F0922"/>
    <w:rsid w:val="2CBD48C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F2F1519"/>
    <w:rsid w:val="2F4B2B19"/>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A92FFC"/>
    <w:rsid w:val="31D2634F"/>
    <w:rsid w:val="31FF4854"/>
    <w:rsid w:val="32214672"/>
    <w:rsid w:val="32583B43"/>
    <w:rsid w:val="32617B06"/>
    <w:rsid w:val="328304A8"/>
    <w:rsid w:val="32B44920"/>
    <w:rsid w:val="32BC5F4D"/>
    <w:rsid w:val="32BD0DBE"/>
    <w:rsid w:val="33154A22"/>
    <w:rsid w:val="337A4526"/>
    <w:rsid w:val="33FE364D"/>
    <w:rsid w:val="3420079D"/>
    <w:rsid w:val="3429115A"/>
    <w:rsid w:val="34F2580B"/>
    <w:rsid w:val="353059E1"/>
    <w:rsid w:val="354A5F40"/>
    <w:rsid w:val="357B0EFD"/>
    <w:rsid w:val="35803C3D"/>
    <w:rsid w:val="35F42A51"/>
    <w:rsid w:val="35FFEC5E"/>
    <w:rsid w:val="36024564"/>
    <w:rsid w:val="3619232D"/>
    <w:rsid w:val="361F260A"/>
    <w:rsid w:val="36276335"/>
    <w:rsid w:val="36981B5D"/>
    <w:rsid w:val="36A9634B"/>
    <w:rsid w:val="36D079C8"/>
    <w:rsid w:val="36EB7CE0"/>
    <w:rsid w:val="36FD3E6E"/>
    <w:rsid w:val="377D1279"/>
    <w:rsid w:val="37D716E7"/>
    <w:rsid w:val="38631B53"/>
    <w:rsid w:val="386D5472"/>
    <w:rsid w:val="38C904AC"/>
    <w:rsid w:val="390327BB"/>
    <w:rsid w:val="394E33E8"/>
    <w:rsid w:val="396C6CF4"/>
    <w:rsid w:val="398E6F62"/>
    <w:rsid w:val="39B36A66"/>
    <w:rsid w:val="3A290002"/>
    <w:rsid w:val="3A2E128F"/>
    <w:rsid w:val="3A5B63A2"/>
    <w:rsid w:val="3A880372"/>
    <w:rsid w:val="3A8F3EBA"/>
    <w:rsid w:val="3AB10259"/>
    <w:rsid w:val="3ABA6222"/>
    <w:rsid w:val="3AD674BD"/>
    <w:rsid w:val="3B1B510F"/>
    <w:rsid w:val="3B241CDC"/>
    <w:rsid w:val="3B301F44"/>
    <w:rsid w:val="3B3716DA"/>
    <w:rsid w:val="3B9373E6"/>
    <w:rsid w:val="3BAE4829"/>
    <w:rsid w:val="3BDF73C5"/>
    <w:rsid w:val="3C05453A"/>
    <w:rsid w:val="3C34130B"/>
    <w:rsid w:val="3C4C39CC"/>
    <w:rsid w:val="3C8856A4"/>
    <w:rsid w:val="3D2748D8"/>
    <w:rsid w:val="3D743CDB"/>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B3EBF"/>
    <w:rsid w:val="40905D53"/>
    <w:rsid w:val="40C6655A"/>
    <w:rsid w:val="40D64F73"/>
    <w:rsid w:val="40DF693D"/>
    <w:rsid w:val="40F16A8E"/>
    <w:rsid w:val="41055B30"/>
    <w:rsid w:val="411C5418"/>
    <w:rsid w:val="412545BE"/>
    <w:rsid w:val="4184340D"/>
    <w:rsid w:val="41C77552"/>
    <w:rsid w:val="41DD75D9"/>
    <w:rsid w:val="41E21275"/>
    <w:rsid w:val="42B85782"/>
    <w:rsid w:val="42F6152E"/>
    <w:rsid w:val="42FF6CFF"/>
    <w:rsid w:val="43075E6E"/>
    <w:rsid w:val="43771108"/>
    <w:rsid w:val="438C4E1A"/>
    <w:rsid w:val="44174028"/>
    <w:rsid w:val="441746B8"/>
    <w:rsid w:val="446523D2"/>
    <w:rsid w:val="44765180"/>
    <w:rsid w:val="447A7A51"/>
    <w:rsid w:val="44BB500C"/>
    <w:rsid w:val="44DA0696"/>
    <w:rsid w:val="44E45943"/>
    <w:rsid w:val="453C4349"/>
    <w:rsid w:val="4583380E"/>
    <w:rsid w:val="45993146"/>
    <w:rsid w:val="459E79F0"/>
    <w:rsid w:val="45AF27D7"/>
    <w:rsid w:val="45EB3538"/>
    <w:rsid w:val="463E0DC4"/>
    <w:rsid w:val="46440499"/>
    <w:rsid w:val="466F03AF"/>
    <w:rsid w:val="46771AC0"/>
    <w:rsid w:val="47347438"/>
    <w:rsid w:val="47867C8A"/>
    <w:rsid w:val="479B001B"/>
    <w:rsid w:val="47A55E85"/>
    <w:rsid w:val="47AC531D"/>
    <w:rsid w:val="47D21CE6"/>
    <w:rsid w:val="47F70466"/>
    <w:rsid w:val="4820145E"/>
    <w:rsid w:val="48313978"/>
    <w:rsid w:val="486274F2"/>
    <w:rsid w:val="48876507"/>
    <w:rsid w:val="48A14890"/>
    <w:rsid w:val="48BD0CBA"/>
    <w:rsid w:val="48C37CC6"/>
    <w:rsid w:val="4A4C0CEF"/>
    <w:rsid w:val="4A67403B"/>
    <w:rsid w:val="4A734E79"/>
    <w:rsid w:val="4A8F4985"/>
    <w:rsid w:val="4A9C275A"/>
    <w:rsid w:val="4AB85DCA"/>
    <w:rsid w:val="4AD27698"/>
    <w:rsid w:val="4AF45F45"/>
    <w:rsid w:val="4B0A12D5"/>
    <w:rsid w:val="4B1B114F"/>
    <w:rsid w:val="4B250368"/>
    <w:rsid w:val="4B4022CA"/>
    <w:rsid w:val="4B7F6C9B"/>
    <w:rsid w:val="4B857DCA"/>
    <w:rsid w:val="4BB01238"/>
    <w:rsid w:val="4BEC2AE1"/>
    <w:rsid w:val="4C2F1AF1"/>
    <w:rsid w:val="4C3F1A69"/>
    <w:rsid w:val="4C4C7D4D"/>
    <w:rsid w:val="4C692E82"/>
    <w:rsid w:val="4C8E6053"/>
    <w:rsid w:val="4C9B795E"/>
    <w:rsid w:val="4CA216B0"/>
    <w:rsid w:val="4CA7336B"/>
    <w:rsid w:val="4CEF5BAF"/>
    <w:rsid w:val="4D001539"/>
    <w:rsid w:val="4D060FF1"/>
    <w:rsid w:val="4D714797"/>
    <w:rsid w:val="4D9F0EEA"/>
    <w:rsid w:val="4DA60964"/>
    <w:rsid w:val="4E1A59EE"/>
    <w:rsid w:val="4E3C703C"/>
    <w:rsid w:val="4E92026E"/>
    <w:rsid w:val="4EB726FD"/>
    <w:rsid w:val="4F095D32"/>
    <w:rsid w:val="4F1A4882"/>
    <w:rsid w:val="4F2F71CE"/>
    <w:rsid w:val="4F3B1580"/>
    <w:rsid w:val="4F3C4DEC"/>
    <w:rsid w:val="4F585C8E"/>
    <w:rsid w:val="4F7C5051"/>
    <w:rsid w:val="4FDB2778"/>
    <w:rsid w:val="504900D3"/>
    <w:rsid w:val="50653B4A"/>
    <w:rsid w:val="50A3118B"/>
    <w:rsid w:val="50AA1BE6"/>
    <w:rsid w:val="50EA2B95"/>
    <w:rsid w:val="516620A8"/>
    <w:rsid w:val="5175589A"/>
    <w:rsid w:val="52331CAF"/>
    <w:rsid w:val="52892F5B"/>
    <w:rsid w:val="52F61709"/>
    <w:rsid w:val="54073585"/>
    <w:rsid w:val="543453A5"/>
    <w:rsid w:val="54843BCA"/>
    <w:rsid w:val="54D275F5"/>
    <w:rsid w:val="54DB7C79"/>
    <w:rsid w:val="54E74E26"/>
    <w:rsid w:val="54F93A6F"/>
    <w:rsid w:val="55580A4D"/>
    <w:rsid w:val="55627866"/>
    <w:rsid w:val="558B7070"/>
    <w:rsid w:val="55B45B96"/>
    <w:rsid w:val="55CC1AA1"/>
    <w:rsid w:val="55DA38A0"/>
    <w:rsid w:val="55DC1770"/>
    <w:rsid w:val="55EB22AC"/>
    <w:rsid w:val="561133F2"/>
    <w:rsid w:val="561F5757"/>
    <w:rsid w:val="56401CD5"/>
    <w:rsid w:val="56571FFA"/>
    <w:rsid w:val="56660C90"/>
    <w:rsid w:val="56A92CC7"/>
    <w:rsid w:val="56D204E6"/>
    <w:rsid w:val="571E77BD"/>
    <w:rsid w:val="57441969"/>
    <w:rsid w:val="57476652"/>
    <w:rsid w:val="5772766D"/>
    <w:rsid w:val="57EB50BF"/>
    <w:rsid w:val="581D5AED"/>
    <w:rsid w:val="586D09FC"/>
    <w:rsid w:val="58BD10F2"/>
    <w:rsid w:val="58CB127E"/>
    <w:rsid w:val="58CD33C2"/>
    <w:rsid w:val="592A2449"/>
    <w:rsid w:val="594A0687"/>
    <w:rsid w:val="595A3D47"/>
    <w:rsid w:val="596469D4"/>
    <w:rsid w:val="59BD375F"/>
    <w:rsid w:val="59E85E60"/>
    <w:rsid w:val="5A435D8A"/>
    <w:rsid w:val="5A51252E"/>
    <w:rsid w:val="5AA173D8"/>
    <w:rsid w:val="5B7F45A2"/>
    <w:rsid w:val="5BB71F8E"/>
    <w:rsid w:val="5BBC1D09"/>
    <w:rsid w:val="5BDB3215"/>
    <w:rsid w:val="5C34380B"/>
    <w:rsid w:val="5C441E45"/>
    <w:rsid w:val="5C6C09AA"/>
    <w:rsid w:val="5CBA4C19"/>
    <w:rsid w:val="5D194289"/>
    <w:rsid w:val="5D852344"/>
    <w:rsid w:val="5D8C2B4C"/>
    <w:rsid w:val="5DC32E71"/>
    <w:rsid w:val="5DDB4E6C"/>
    <w:rsid w:val="5DF70E54"/>
    <w:rsid w:val="5E402B64"/>
    <w:rsid w:val="5E94654C"/>
    <w:rsid w:val="5EB01642"/>
    <w:rsid w:val="5F001951"/>
    <w:rsid w:val="5F006759"/>
    <w:rsid w:val="5F207449"/>
    <w:rsid w:val="5F225A0F"/>
    <w:rsid w:val="5F7417D6"/>
    <w:rsid w:val="5F912AC4"/>
    <w:rsid w:val="5FA35FE5"/>
    <w:rsid w:val="5FCE4F4E"/>
    <w:rsid w:val="5FD14724"/>
    <w:rsid w:val="600C4824"/>
    <w:rsid w:val="60153D3C"/>
    <w:rsid w:val="602F50D5"/>
    <w:rsid w:val="60700F30"/>
    <w:rsid w:val="607B7DDA"/>
    <w:rsid w:val="60B62E5B"/>
    <w:rsid w:val="60E87B88"/>
    <w:rsid w:val="60F36AC5"/>
    <w:rsid w:val="613A3445"/>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2A1415"/>
    <w:rsid w:val="649B203D"/>
    <w:rsid w:val="64F22548"/>
    <w:rsid w:val="65033676"/>
    <w:rsid w:val="65442BCD"/>
    <w:rsid w:val="655C29BA"/>
    <w:rsid w:val="65610558"/>
    <w:rsid w:val="65804820"/>
    <w:rsid w:val="659106E2"/>
    <w:rsid w:val="65A2780B"/>
    <w:rsid w:val="65AB236D"/>
    <w:rsid w:val="65B8080F"/>
    <w:rsid w:val="65E46075"/>
    <w:rsid w:val="66032238"/>
    <w:rsid w:val="662276B1"/>
    <w:rsid w:val="66483EC5"/>
    <w:rsid w:val="66700206"/>
    <w:rsid w:val="66704DB4"/>
    <w:rsid w:val="66A04F95"/>
    <w:rsid w:val="66B26720"/>
    <w:rsid w:val="67102453"/>
    <w:rsid w:val="67120A9E"/>
    <w:rsid w:val="6734799D"/>
    <w:rsid w:val="67500178"/>
    <w:rsid w:val="679F3CC8"/>
    <w:rsid w:val="67D201EB"/>
    <w:rsid w:val="67E01163"/>
    <w:rsid w:val="680622D3"/>
    <w:rsid w:val="686C2F70"/>
    <w:rsid w:val="688573AD"/>
    <w:rsid w:val="688651C2"/>
    <w:rsid w:val="68A67F29"/>
    <w:rsid w:val="68C15CCA"/>
    <w:rsid w:val="68D118F1"/>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E57EBD"/>
    <w:rsid w:val="6BFE46EA"/>
    <w:rsid w:val="6C7F53F2"/>
    <w:rsid w:val="6C8B20CC"/>
    <w:rsid w:val="6D1927C4"/>
    <w:rsid w:val="6D616AB2"/>
    <w:rsid w:val="6D6D0FF6"/>
    <w:rsid w:val="6DD54955"/>
    <w:rsid w:val="6DE4548A"/>
    <w:rsid w:val="6E2D5373"/>
    <w:rsid w:val="6E8F400F"/>
    <w:rsid w:val="6EB71B5D"/>
    <w:rsid w:val="6F447A17"/>
    <w:rsid w:val="6F773253"/>
    <w:rsid w:val="703B4AE4"/>
    <w:rsid w:val="704217E5"/>
    <w:rsid w:val="7076354C"/>
    <w:rsid w:val="707E56F3"/>
    <w:rsid w:val="7084648B"/>
    <w:rsid w:val="70F6444B"/>
    <w:rsid w:val="71152000"/>
    <w:rsid w:val="7121017E"/>
    <w:rsid w:val="71951D13"/>
    <w:rsid w:val="719A3A8C"/>
    <w:rsid w:val="71DD22F7"/>
    <w:rsid w:val="721376E2"/>
    <w:rsid w:val="721756F7"/>
    <w:rsid w:val="721A607D"/>
    <w:rsid w:val="72224ADC"/>
    <w:rsid w:val="7231680E"/>
    <w:rsid w:val="726C7C5A"/>
    <w:rsid w:val="72731B2F"/>
    <w:rsid w:val="727B38BE"/>
    <w:rsid w:val="72924529"/>
    <w:rsid w:val="72BD5AD1"/>
    <w:rsid w:val="72C87BB3"/>
    <w:rsid w:val="735465E8"/>
    <w:rsid w:val="735F6117"/>
    <w:rsid w:val="73A40AD9"/>
    <w:rsid w:val="73BC3875"/>
    <w:rsid w:val="73FC40C7"/>
    <w:rsid w:val="745D4D21"/>
    <w:rsid w:val="74C01B01"/>
    <w:rsid w:val="74DB6895"/>
    <w:rsid w:val="752F342A"/>
    <w:rsid w:val="75843304"/>
    <w:rsid w:val="75C509F0"/>
    <w:rsid w:val="760C31AA"/>
    <w:rsid w:val="7632763C"/>
    <w:rsid w:val="766034F6"/>
    <w:rsid w:val="76CB6D18"/>
    <w:rsid w:val="76E41A31"/>
    <w:rsid w:val="76ED37EF"/>
    <w:rsid w:val="770F21D1"/>
    <w:rsid w:val="77BF7315"/>
    <w:rsid w:val="782E1286"/>
    <w:rsid w:val="782E3442"/>
    <w:rsid w:val="78532959"/>
    <w:rsid w:val="786C5C4B"/>
    <w:rsid w:val="78871402"/>
    <w:rsid w:val="78A7019A"/>
    <w:rsid w:val="78CA1834"/>
    <w:rsid w:val="78DF6F7C"/>
    <w:rsid w:val="790A6E9A"/>
    <w:rsid w:val="791870B6"/>
    <w:rsid w:val="796D5B63"/>
    <w:rsid w:val="798D055E"/>
    <w:rsid w:val="79B2097F"/>
    <w:rsid w:val="79BA3B0E"/>
    <w:rsid w:val="7A287679"/>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733ECF"/>
    <w:rsid w:val="7DB40A20"/>
    <w:rsid w:val="7DC2451F"/>
    <w:rsid w:val="7DE7143A"/>
    <w:rsid w:val="7E136A50"/>
    <w:rsid w:val="7E49765A"/>
    <w:rsid w:val="7E4C0FEB"/>
    <w:rsid w:val="7EA857C5"/>
    <w:rsid w:val="7EBE0C5A"/>
    <w:rsid w:val="7EFB3C47"/>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9"/>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60"/>
    <w:qFormat/>
    <w:uiPriority w:val="0"/>
    <w:pPr>
      <w:keepNext/>
      <w:outlineLvl w:val="0"/>
    </w:pPr>
    <w:rPr>
      <w:sz w:val="28"/>
      <w:szCs w:val="24"/>
    </w:rPr>
  </w:style>
  <w:style w:type="paragraph" w:styleId="6">
    <w:name w:val="heading 2"/>
    <w:basedOn w:val="1"/>
    <w:next w:val="1"/>
    <w:link w:val="116"/>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2"/>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3"/>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76"/>
    <w:qFormat/>
    <w:uiPriority w:val="0"/>
    <w:pPr>
      <w:spacing w:after="120"/>
    </w:pPr>
    <w:rPr>
      <w:szCs w:val="24"/>
    </w:rPr>
  </w:style>
  <w:style w:type="paragraph" w:customStyle="1" w:styleId="3">
    <w:name w:val="Default"/>
    <w:next w:val="4"/>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
    <w:name w:val="表格文字"/>
    <w:basedOn w:val="1"/>
    <w:qFormat/>
    <w:uiPriority w:val="0"/>
    <w:pPr>
      <w:spacing w:line="360" w:lineRule="exact"/>
      <w:jc w:val="center"/>
    </w:pPr>
    <w:rPr>
      <w:szCs w:val="20"/>
    </w:rPr>
  </w:style>
  <w:style w:type="paragraph" w:styleId="9">
    <w:name w:val="toc 7"/>
    <w:basedOn w:val="1"/>
    <w:next w:val="1"/>
    <w:qFormat/>
    <w:uiPriority w:val="0"/>
    <w:pPr>
      <w:ind w:left="2520" w:leftChars="1200"/>
    </w:pPr>
  </w:style>
  <w:style w:type="paragraph" w:styleId="10">
    <w:name w:val="Document Map"/>
    <w:basedOn w:val="1"/>
    <w:link w:val="87"/>
    <w:qFormat/>
    <w:uiPriority w:val="0"/>
    <w:pPr>
      <w:shd w:val="clear" w:color="auto" w:fill="000080"/>
    </w:pPr>
  </w:style>
  <w:style w:type="paragraph" w:styleId="11">
    <w:name w:val="annotation text"/>
    <w:basedOn w:val="1"/>
    <w:link w:val="81"/>
    <w:semiHidden/>
    <w:qFormat/>
    <w:uiPriority w:val="99"/>
    <w:pPr>
      <w:jc w:val="left"/>
    </w:pPr>
  </w:style>
  <w:style w:type="paragraph" w:styleId="12">
    <w:name w:val="Body Text 3"/>
    <w:basedOn w:val="1"/>
    <w:link w:val="101"/>
    <w:unhideWhenUsed/>
    <w:qFormat/>
    <w:uiPriority w:val="99"/>
    <w:pPr>
      <w:spacing w:after="120"/>
    </w:pPr>
    <w:rPr>
      <w:rFonts w:ascii="Calibri" w:hAnsi="Calibri"/>
      <w:sz w:val="16"/>
      <w:szCs w:val="16"/>
      <w:lang w:val="zh-CN"/>
    </w:rPr>
  </w:style>
  <w:style w:type="paragraph" w:styleId="13">
    <w:name w:val="Body Text Indent"/>
    <w:basedOn w:val="1"/>
    <w:next w:val="14"/>
    <w:link w:val="65"/>
    <w:qFormat/>
    <w:uiPriority w:val="0"/>
    <w:pPr>
      <w:ind w:firstLine="540"/>
    </w:pPr>
    <w:rPr>
      <w:rFonts w:eastAsia="仿宋_GB2312"/>
      <w:sz w:val="28"/>
    </w:rPr>
  </w:style>
  <w:style w:type="paragraph" w:styleId="14">
    <w:name w:val="envelope return"/>
    <w:basedOn w:val="1"/>
    <w:unhideWhenUsed/>
    <w:qFormat/>
    <w:uiPriority w:val="99"/>
    <w:pPr>
      <w:snapToGrid w:val="0"/>
      <w:spacing w:line="360" w:lineRule="auto"/>
    </w:pPr>
    <w:rPr>
      <w:rFonts w:ascii="Arial" w:hAnsi="Arial" w:cs="Arial"/>
    </w:rPr>
  </w:style>
  <w:style w:type="paragraph" w:styleId="15">
    <w:name w:val="toc 5"/>
    <w:basedOn w:val="1"/>
    <w:next w:val="1"/>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qFormat/>
    <w:uiPriority w:val="0"/>
    <w:rPr>
      <w:rFonts w:ascii="宋体" w:hAnsi="Courier New" w:cstheme="minorBidi"/>
      <w:szCs w:val="22"/>
    </w:rPr>
  </w:style>
  <w:style w:type="paragraph" w:styleId="18">
    <w:name w:val="toc 8"/>
    <w:basedOn w:val="1"/>
    <w:next w:val="1"/>
    <w:qFormat/>
    <w:uiPriority w:val="0"/>
    <w:pPr>
      <w:ind w:left="2940" w:leftChars="1400"/>
    </w:pPr>
  </w:style>
  <w:style w:type="paragraph" w:styleId="19">
    <w:name w:val="Date"/>
    <w:basedOn w:val="1"/>
    <w:next w:val="1"/>
    <w:link w:val="64"/>
    <w:qFormat/>
    <w:uiPriority w:val="0"/>
    <w:rPr>
      <w:rFonts w:ascii="Arial" w:hAnsi="Arial" w:eastAsia="楷体_GB2312"/>
      <w:sz w:val="28"/>
    </w:rPr>
  </w:style>
  <w:style w:type="paragraph" w:styleId="20">
    <w:name w:val="Body Text Indent 2"/>
    <w:basedOn w:val="1"/>
    <w:link w:val="67"/>
    <w:qFormat/>
    <w:uiPriority w:val="0"/>
    <w:pPr>
      <w:tabs>
        <w:tab w:val="left" w:pos="720"/>
      </w:tabs>
      <w:ind w:right="-506" w:rightChars="-241" w:firstLine="538" w:firstLineChars="192"/>
    </w:pPr>
    <w:rPr>
      <w:rFonts w:eastAsia="仿宋_GB2312"/>
      <w:sz w:val="28"/>
    </w:rPr>
  </w:style>
  <w:style w:type="paragraph" w:styleId="21">
    <w:name w:val="Balloon Text"/>
    <w:basedOn w:val="1"/>
    <w:link w:val="78"/>
    <w:qFormat/>
    <w:uiPriority w:val="0"/>
    <w:rPr>
      <w:sz w:val="18"/>
      <w:szCs w:val="18"/>
    </w:rPr>
  </w:style>
  <w:style w:type="paragraph" w:styleId="22">
    <w:name w:val="footer"/>
    <w:basedOn w:val="1"/>
    <w:link w:val="59"/>
    <w:unhideWhenUsed/>
    <w:qFormat/>
    <w:uiPriority w:val="99"/>
    <w:pPr>
      <w:tabs>
        <w:tab w:val="center" w:pos="4153"/>
        <w:tab w:val="right" w:pos="8306"/>
      </w:tabs>
      <w:snapToGrid w:val="0"/>
      <w:jc w:val="left"/>
    </w:pPr>
    <w:rPr>
      <w:sz w:val="18"/>
      <w:szCs w:val="18"/>
    </w:rPr>
  </w:style>
  <w:style w:type="paragraph" w:styleId="23">
    <w:name w:val="header"/>
    <w:basedOn w:val="1"/>
    <w:link w:val="58"/>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qFormat/>
    <w:uiPriority w:val="0"/>
    <w:pPr>
      <w:ind w:left="1260" w:leftChars="600"/>
    </w:pPr>
  </w:style>
  <w:style w:type="paragraph" w:styleId="26">
    <w:name w:val="toc 6"/>
    <w:basedOn w:val="1"/>
    <w:next w:val="1"/>
    <w:qFormat/>
    <w:uiPriority w:val="0"/>
    <w:pPr>
      <w:ind w:left="2100" w:leftChars="1000"/>
    </w:pPr>
  </w:style>
  <w:style w:type="paragraph" w:styleId="27">
    <w:name w:val="Body Text Indent 3"/>
    <w:basedOn w:val="1"/>
    <w:link w:val="73"/>
    <w:qFormat/>
    <w:uiPriority w:val="0"/>
    <w:pPr>
      <w:ind w:left="178" w:leftChars="85" w:firstLine="560" w:firstLineChars="200"/>
    </w:pPr>
    <w:rPr>
      <w:rFonts w:ascii="仿宋_GB2312" w:hAnsi="Arial" w:eastAsia="仿宋_GB2312"/>
      <w:sz w:val="28"/>
      <w:szCs w:val="24"/>
    </w:rPr>
  </w:style>
  <w:style w:type="paragraph" w:styleId="28">
    <w:name w:val="toc 2"/>
    <w:basedOn w:val="1"/>
    <w:next w:val="1"/>
    <w:qFormat/>
    <w:uiPriority w:val="39"/>
    <w:pPr>
      <w:ind w:left="420" w:leftChars="200"/>
    </w:pPr>
  </w:style>
  <w:style w:type="paragraph" w:styleId="29">
    <w:name w:val="toc 9"/>
    <w:basedOn w:val="1"/>
    <w:next w:val="1"/>
    <w:qFormat/>
    <w:uiPriority w:val="0"/>
    <w:pPr>
      <w:ind w:left="3360" w:leftChars="1600"/>
    </w:pPr>
  </w:style>
  <w:style w:type="paragraph" w:styleId="30">
    <w:name w:val="Body Text 2"/>
    <w:basedOn w:val="1"/>
    <w:qFormat/>
    <w:uiPriority w:val="0"/>
    <w:pPr>
      <w:spacing w:after="120" w:line="480" w:lineRule="auto"/>
    </w:pPr>
  </w:style>
  <w:style w:type="paragraph" w:styleId="31">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unhideWhenUsed/>
    <w:qFormat/>
    <w:uiPriority w:val="99"/>
    <w:pPr>
      <w:jc w:val="left"/>
    </w:pPr>
    <w:rPr>
      <w:kern w:val="0"/>
      <w:sz w:val="24"/>
    </w:rPr>
  </w:style>
  <w:style w:type="paragraph" w:styleId="33">
    <w:name w:val="index 1"/>
    <w:basedOn w:val="1"/>
    <w:next w:val="1"/>
    <w:semiHidden/>
    <w:qFormat/>
    <w:uiPriority w:val="0"/>
    <w:pPr>
      <w:jc w:val="center"/>
    </w:pPr>
    <w:rPr>
      <w:rFonts w:ascii="仿宋_GB2312" w:eastAsia="仿宋_GB2312"/>
      <w:b/>
      <w:bCs/>
      <w:sz w:val="28"/>
    </w:rPr>
  </w:style>
  <w:style w:type="paragraph" w:styleId="34">
    <w:name w:val="annotation subject"/>
    <w:basedOn w:val="11"/>
    <w:next w:val="11"/>
    <w:link w:val="82"/>
    <w:semiHidden/>
    <w:qFormat/>
    <w:uiPriority w:val="99"/>
    <w:rPr>
      <w:b/>
      <w:bCs/>
    </w:rPr>
  </w:style>
  <w:style w:type="paragraph" w:styleId="35">
    <w:name w:val="Body Text First Indent"/>
    <w:basedOn w:val="2"/>
    <w:next w:val="26"/>
    <w:unhideWhenUsed/>
    <w:qFormat/>
    <w:uiPriority w:val="99"/>
    <w:pPr>
      <w:spacing w:line="400" w:lineRule="atLeast"/>
      <w:ind w:firstLine="426"/>
    </w:pPr>
    <w:rPr>
      <w:sz w:val="24"/>
      <w:szCs w:val="20"/>
    </w:rPr>
  </w:style>
  <w:style w:type="paragraph" w:styleId="36">
    <w:name w:val="Body Text First Indent 2"/>
    <w:basedOn w:val="13"/>
    <w:next w:val="1"/>
    <w:qFormat/>
    <w:uiPriority w:val="0"/>
    <w:pPr>
      <w:spacing w:line="360" w:lineRule="auto"/>
      <w:jc w:val="left"/>
    </w:pPr>
    <w:rPr>
      <w:rFonts w:cs="宋体"/>
      <w:sz w:val="28"/>
      <w:szCs w:val="28"/>
    </w:rPr>
  </w:style>
  <w:style w:type="table" w:styleId="38">
    <w:name w:val="Table Grid"/>
    <w:basedOn w:val="3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qFormat/>
    <w:uiPriority w:val="0"/>
  </w:style>
  <w:style w:type="character" w:styleId="42">
    <w:name w:val="FollowedHyperlink"/>
    <w:basedOn w:val="39"/>
    <w:unhideWhenUsed/>
    <w:qFormat/>
    <w:uiPriority w:val="99"/>
    <w:rPr>
      <w:color w:val="954F72" w:themeColor="followedHyperlink"/>
      <w:u w:val="single"/>
      <w14:textFill>
        <w14:solidFill>
          <w14:schemeClr w14:val="folHlink"/>
        </w14:solidFill>
      </w14:textFill>
    </w:rPr>
  </w:style>
  <w:style w:type="character" w:styleId="43">
    <w:name w:val="Emphasis"/>
    <w:basedOn w:val="39"/>
    <w:qFormat/>
    <w:uiPriority w:val="20"/>
    <w:rPr>
      <w:b/>
      <w:bCs/>
    </w:rPr>
  </w:style>
  <w:style w:type="character" w:styleId="44">
    <w:name w:val="HTML Definition"/>
    <w:basedOn w:val="39"/>
    <w:semiHidden/>
    <w:unhideWhenUsed/>
    <w:qFormat/>
    <w:uiPriority w:val="99"/>
  </w:style>
  <w:style w:type="character" w:styleId="45">
    <w:name w:val="HTML Typewriter"/>
    <w:basedOn w:val="39"/>
    <w:semiHidden/>
    <w:unhideWhenUsed/>
    <w:qFormat/>
    <w:uiPriority w:val="99"/>
    <w:rPr>
      <w:rFonts w:hint="default" w:ascii="monospace" w:hAnsi="monospace" w:eastAsia="monospace" w:cs="monospace"/>
      <w:sz w:val="20"/>
    </w:rPr>
  </w:style>
  <w:style w:type="character" w:styleId="46">
    <w:name w:val="HTML Acronym"/>
    <w:basedOn w:val="39"/>
    <w:semiHidden/>
    <w:unhideWhenUsed/>
    <w:qFormat/>
    <w:uiPriority w:val="99"/>
  </w:style>
  <w:style w:type="character" w:styleId="47">
    <w:name w:val="HTML Variable"/>
    <w:basedOn w:val="39"/>
    <w:semiHidden/>
    <w:unhideWhenUsed/>
    <w:qFormat/>
    <w:uiPriority w:val="99"/>
  </w:style>
  <w:style w:type="character" w:styleId="48">
    <w:name w:val="Hyperlink"/>
    <w:basedOn w:val="39"/>
    <w:qFormat/>
    <w:uiPriority w:val="99"/>
    <w:rPr>
      <w:color w:val="333333"/>
      <w:u w:val="none"/>
    </w:rPr>
  </w:style>
  <w:style w:type="character" w:styleId="49">
    <w:name w:val="HTML Code"/>
    <w:basedOn w:val="39"/>
    <w:semiHidden/>
    <w:unhideWhenUsed/>
    <w:qFormat/>
    <w:uiPriority w:val="99"/>
    <w:rPr>
      <w:rFonts w:hint="default" w:ascii="monospace" w:hAnsi="monospace" w:eastAsia="monospace" w:cs="monospace"/>
      <w:sz w:val="20"/>
    </w:rPr>
  </w:style>
  <w:style w:type="character" w:styleId="50">
    <w:name w:val="annotation reference"/>
    <w:semiHidden/>
    <w:qFormat/>
    <w:uiPriority w:val="99"/>
    <w:rPr>
      <w:sz w:val="21"/>
      <w:szCs w:val="21"/>
    </w:rPr>
  </w:style>
  <w:style w:type="character" w:styleId="51">
    <w:name w:val="HTML Cite"/>
    <w:basedOn w:val="39"/>
    <w:semiHidden/>
    <w:unhideWhenUsed/>
    <w:qFormat/>
    <w:uiPriority w:val="99"/>
  </w:style>
  <w:style w:type="character" w:styleId="52">
    <w:name w:val="HTML Keyboard"/>
    <w:basedOn w:val="39"/>
    <w:semiHidden/>
    <w:unhideWhenUsed/>
    <w:qFormat/>
    <w:uiPriority w:val="99"/>
    <w:rPr>
      <w:rFonts w:ascii="monospace" w:hAnsi="monospace" w:eastAsia="monospace" w:cs="monospace"/>
      <w:sz w:val="20"/>
    </w:rPr>
  </w:style>
  <w:style w:type="character" w:styleId="53">
    <w:name w:val="HTML Sample"/>
    <w:basedOn w:val="39"/>
    <w:semiHidden/>
    <w:unhideWhenUsed/>
    <w:qFormat/>
    <w:uiPriority w:val="99"/>
    <w:rPr>
      <w:rFonts w:hint="default" w:ascii="monospace" w:hAnsi="monospace" w:eastAsia="monospace" w:cs="monospace"/>
    </w:rPr>
  </w:style>
  <w:style w:type="paragraph" w:customStyle="1" w:styleId="54">
    <w:name w:val="style4"/>
    <w:basedOn w:val="1"/>
    <w:next w:val="55"/>
    <w:qFormat/>
    <w:uiPriority w:val="0"/>
    <w:pPr>
      <w:widowControl/>
      <w:spacing w:before="280" w:after="280"/>
    </w:pPr>
    <w:rPr>
      <w:rFonts w:ascii="宋体"/>
      <w:sz w:val="18"/>
    </w:rPr>
  </w:style>
  <w:style w:type="paragraph" w:customStyle="1" w:styleId="5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qFormat/>
    <w:uiPriority w:val="0"/>
    <w:pPr>
      <w:ind w:firstLine="420" w:firstLineChars="200"/>
    </w:pPr>
    <w:rPr>
      <w:rFonts w:ascii="Calibri" w:hAnsi="Calibri"/>
      <w:szCs w:val="22"/>
    </w:rPr>
  </w:style>
  <w:style w:type="paragraph" w:customStyle="1" w:styleId="57">
    <w:name w:val="目录 71"/>
    <w:basedOn w:val="1"/>
    <w:next w:val="1"/>
    <w:qFormat/>
    <w:uiPriority w:val="0"/>
    <w:pPr>
      <w:ind w:left="2520"/>
    </w:pPr>
    <w:rPr>
      <w:rFonts w:ascii="Calibri"/>
    </w:rPr>
  </w:style>
  <w:style w:type="character" w:customStyle="1" w:styleId="58">
    <w:name w:val="页眉 字符"/>
    <w:basedOn w:val="39"/>
    <w:link w:val="23"/>
    <w:qFormat/>
    <w:uiPriority w:val="0"/>
    <w:rPr>
      <w:sz w:val="18"/>
      <w:szCs w:val="18"/>
    </w:rPr>
  </w:style>
  <w:style w:type="character" w:customStyle="1" w:styleId="59">
    <w:name w:val="页脚 字符"/>
    <w:basedOn w:val="39"/>
    <w:link w:val="22"/>
    <w:qFormat/>
    <w:uiPriority w:val="0"/>
    <w:rPr>
      <w:sz w:val="18"/>
      <w:szCs w:val="18"/>
    </w:rPr>
  </w:style>
  <w:style w:type="character" w:customStyle="1" w:styleId="60">
    <w:name w:val="标题 1 字符"/>
    <w:basedOn w:val="39"/>
    <w:link w:val="5"/>
    <w:qFormat/>
    <w:uiPriority w:val="0"/>
    <w:rPr>
      <w:rFonts w:ascii="Times New Roman" w:hAnsi="Times New Roman" w:eastAsia="宋体" w:cs="Times New Roman"/>
      <w:sz w:val="28"/>
      <w:szCs w:val="24"/>
    </w:rPr>
  </w:style>
  <w:style w:type="character" w:customStyle="1" w:styleId="61">
    <w:name w:val="标题 2 Char"/>
    <w:basedOn w:val="39"/>
    <w:qFormat/>
    <w:uiPriority w:val="0"/>
    <w:rPr>
      <w:rFonts w:ascii="Arial" w:hAnsi="Arial" w:eastAsia="黑体" w:cs="Times New Roman"/>
      <w:b/>
      <w:kern w:val="0"/>
      <w:sz w:val="32"/>
      <w:szCs w:val="20"/>
    </w:rPr>
  </w:style>
  <w:style w:type="character" w:customStyle="1" w:styleId="62">
    <w:name w:val="标题 3 字符"/>
    <w:basedOn w:val="39"/>
    <w:link w:val="7"/>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8"/>
    <w:qFormat/>
    <w:uiPriority w:val="0"/>
    <w:rPr>
      <w:rFonts w:ascii="Arial" w:hAnsi="Arial" w:eastAsia="黑体" w:cs="Times New Roman"/>
      <w:b/>
      <w:kern w:val="0"/>
      <w:sz w:val="28"/>
      <w:szCs w:val="20"/>
    </w:rPr>
  </w:style>
  <w:style w:type="character" w:customStyle="1" w:styleId="64">
    <w:name w:val="日期 字符"/>
    <w:basedOn w:val="39"/>
    <w:link w:val="19"/>
    <w:qFormat/>
    <w:uiPriority w:val="0"/>
    <w:rPr>
      <w:rFonts w:ascii="Arial" w:hAnsi="Arial" w:eastAsia="楷体_GB2312" w:cs="Times New Roman"/>
      <w:sz w:val="28"/>
      <w:szCs w:val="20"/>
    </w:rPr>
  </w:style>
  <w:style w:type="character" w:customStyle="1" w:styleId="65">
    <w:name w:val="正文文本缩进 字符"/>
    <w:basedOn w:val="39"/>
    <w:link w:val="13"/>
    <w:qFormat/>
    <w:uiPriority w:val="0"/>
    <w:rPr>
      <w:rFonts w:ascii="Times New Roman" w:hAnsi="Times New Roman" w:eastAsia="仿宋_GB2312" w:cs="Times New Roman"/>
      <w:sz w:val="28"/>
      <w:szCs w:val="20"/>
    </w:rPr>
  </w:style>
  <w:style w:type="paragraph" w:customStyle="1" w:styleId="66">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0"/>
    <w:qFormat/>
    <w:uiPriority w:val="0"/>
    <w:rPr>
      <w:rFonts w:ascii="Times New Roman" w:hAnsi="Times New Roman" w:eastAsia="仿宋_GB2312" w:cs="Times New Roman"/>
      <w:sz w:val="28"/>
      <w:szCs w:val="20"/>
    </w:rPr>
  </w:style>
  <w:style w:type="paragraph" w:customStyle="1" w:styleId="68">
    <w:name w:val="样式1"/>
    <w:basedOn w:val="1"/>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6"/>
    <w:qFormat/>
    <w:uiPriority w:val="0"/>
    <w:pPr>
      <w:spacing w:line="240" w:lineRule="auto"/>
    </w:pPr>
    <w:rPr>
      <w:rFonts w:ascii="宋体" w:hAnsi="宋体" w:eastAsia="宋体"/>
      <w:sz w:val="21"/>
    </w:rPr>
  </w:style>
  <w:style w:type="paragraph" w:customStyle="1" w:styleId="71">
    <w:name w:val="Char Char Char Char Char"/>
    <w:basedOn w:val="1"/>
    <w:qFormat/>
    <w:uiPriority w:val="0"/>
    <w:rPr>
      <w:rFonts w:ascii="Tahoma" w:hAnsi="Tahoma"/>
      <w:sz w:val="24"/>
    </w:rPr>
  </w:style>
  <w:style w:type="paragraph" w:customStyle="1" w:styleId="72">
    <w:name w:val="Char"/>
    <w:basedOn w:val="1"/>
    <w:qFormat/>
    <w:uiPriority w:val="0"/>
    <w:rPr>
      <w:rFonts w:ascii="Tahoma" w:hAnsi="Tahoma"/>
      <w:sz w:val="24"/>
    </w:rPr>
  </w:style>
  <w:style w:type="character" w:customStyle="1" w:styleId="73">
    <w:name w:val="正文文本缩进 3 字符"/>
    <w:basedOn w:val="39"/>
    <w:link w:val="27"/>
    <w:qFormat/>
    <w:uiPriority w:val="0"/>
    <w:rPr>
      <w:rFonts w:ascii="仿宋_GB2312" w:hAnsi="Arial" w:eastAsia="仿宋_GB2312" w:cs="Times New Roman"/>
      <w:sz w:val="28"/>
      <w:szCs w:val="24"/>
    </w:rPr>
  </w:style>
  <w:style w:type="paragraph" w:customStyle="1" w:styleId="74">
    <w:name w:val="Char1"/>
    <w:basedOn w:val="1"/>
    <w:qFormat/>
    <w:uiPriority w:val="0"/>
    <w:rPr>
      <w:rFonts w:ascii="Tahoma" w:hAnsi="Tahoma" w:eastAsia="仿宋_GB2312"/>
      <w:sz w:val="24"/>
    </w:rPr>
  </w:style>
  <w:style w:type="paragraph" w:customStyle="1" w:styleId="75">
    <w:name w:val="Char Char Char Char Char Char Char1 Char"/>
    <w:basedOn w:val="1"/>
    <w:qFormat/>
    <w:uiPriority w:val="0"/>
    <w:rPr>
      <w:rFonts w:ascii="Tahoma" w:hAnsi="Tahoma"/>
      <w:sz w:val="24"/>
    </w:rPr>
  </w:style>
  <w:style w:type="character" w:customStyle="1" w:styleId="76">
    <w:name w:val="正文文本 字符"/>
    <w:basedOn w:val="39"/>
    <w:link w:val="2"/>
    <w:qFormat/>
    <w:uiPriority w:val="0"/>
    <w:rPr>
      <w:rFonts w:ascii="Times New Roman" w:hAnsi="Times New Roman" w:eastAsia="宋体" w:cs="Times New Roman"/>
      <w:szCs w:val="24"/>
    </w:rPr>
  </w:style>
  <w:style w:type="paragraph" w:customStyle="1" w:styleId="77">
    <w:name w:val="Char Char Char Char"/>
    <w:basedOn w:val="1"/>
    <w:next w:val="1"/>
    <w:qFormat/>
    <w:uiPriority w:val="0"/>
    <w:pPr>
      <w:widowControl/>
      <w:spacing w:line="360" w:lineRule="auto"/>
      <w:jc w:val="left"/>
    </w:pPr>
  </w:style>
  <w:style w:type="character" w:customStyle="1" w:styleId="78">
    <w:name w:val="批注框文本 字符"/>
    <w:basedOn w:val="39"/>
    <w:link w:val="21"/>
    <w:qFormat/>
    <w:uiPriority w:val="0"/>
    <w:rPr>
      <w:rFonts w:ascii="Times New Roman" w:hAnsi="Times New Roman" w:eastAsia="宋体" w:cs="Times New Roman"/>
      <w:sz w:val="18"/>
      <w:szCs w:val="18"/>
    </w:rPr>
  </w:style>
  <w:style w:type="paragraph" w:customStyle="1" w:styleId="79">
    <w:name w:val="Char Char Char"/>
    <w:basedOn w:val="1"/>
    <w:qFormat/>
    <w:uiPriority w:val="0"/>
    <w:rPr>
      <w:rFonts w:ascii="Tahoma" w:hAnsi="Tahoma"/>
      <w:sz w:val="24"/>
    </w:rPr>
  </w:style>
  <w:style w:type="paragraph" w:customStyle="1" w:styleId="80">
    <w:name w:val="Char Char Char Char Char Char Char Char Char Char"/>
    <w:basedOn w:val="1"/>
    <w:qFormat/>
    <w:uiPriority w:val="0"/>
    <w:rPr>
      <w:rFonts w:ascii="Tahoma" w:hAnsi="Tahoma" w:cs="仿宋_GB2312"/>
      <w:sz w:val="24"/>
    </w:rPr>
  </w:style>
  <w:style w:type="character" w:customStyle="1" w:styleId="81">
    <w:name w:val="批注文字 字符"/>
    <w:basedOn w:val="39"/>
    <w:link w:val="11"/>
    <w:semiHidden/>
    <w:qFormat/>
    <w:uiPriority w:val="99"/>
    <w:rPr>
      <w:rFonts w:ascii="Times New Roman" w:hAnsi="Times New Roman" w:eastAsia="宋体" w:cs="Times New Roman"/>
      <w:szCs w:val="20"/>
    </w:rPr>
  </w:style>
  <w:style w:type="character" w:customStyle="1" w:styleId="82">
    <w:name w:val="批注主题 字符"/>
    <w:basedOn w:val="81"/>
    <w:link w:val="34"/>
    <w:semiHidden/>
    <w:qFormat/>
    <w:uiPriority w:val="99"/>
    <w:rPr>
      <w:rFonts w:ascii="Times New Roman" w:hAnsi="Times New Roman" w:eastAsia="宋体" w:cs="Times New Roman"/>
      <w:b/>
      <w:bCs/>
      <w:szCs w:val="20"/>
    </w:rPr>
  </w:style>
  <w:style w:type="paragraph" w:customStyle="1" w:styleId="83">
    <w:name w:val="Char Char Char Char Char Char"/>
    <w:basedOn w:val="1"/>
    <w:qFormat/>
    <w:uiPriority w:val="0"/>
  </w:style>
  <w:style w:type="character" w:customStyle="1" w:styleId="84">
    <w:name w:val="纯文本 字符"/>
    <w:link w:val="17"/>
    <w:qFormat/>
    <w:uiPriority w:val="0"/>
    <w:rPr>
      <w:rFonts w:ascii="宋体" w:hAnsi="Courier New" w:eastAsia="宋体"/>
    </w:rPr>
  </w:style>
  <w:style w:type="character" w:customStyle="1" w:styleId="85">
    <w:name w:val="纯文本 Char1"/>
    <w:basedOn w:val="39"/>
    <w:semiHidden/>
    <w:qFormat/>
    <w:uiPriority w:val="99"/>
    <w:rPr>
      <w:rFonts w:ascii="宋体" w:hAnsi="Courier New" w:eastAsia="宋体" w:cs="Courier New"/>
      <w:szCs w:val="21"/>
    </w:rPr>
  </w:style>
  <w:style w:type="paragraph" w:customStyle="1" w:styleId="86">
    <w:name w:val="Char12 Char Char Char"/>
    <w:basedOn w:val="1"/>
    <w:qFormat/>
    <w:uiPriority w:val="0"/>
  </w:style>
  <w:style w:type="character" w:customStyle="1" w:styleId="87">
    <w:name w:val="文档结构图 字符"/>
    <w:basedOn w:val="39"/>
    <w:link w:val="10"/>
    <w:qFormat/>
    <w:uiPriority w:val="0"/>
    <w:rPr>
      <w:rFonts w:ascii="Times New Roman" w:hAnsi="Times New Roman" w:eastAsia="宋体" w:cs="Times New Roman"/>
      <w:szCs w:val="20"/>
      <w:shd w:val="clear" w:color="auto" w:fill="000080"/>
    </w:rPr>
  </w:style>
  <w:style w:type="character" w:customStyle="1" w:styleId="88">
    <w:name w:val="style29"/>
    <w:qFormat/>
    <w:uiPriority w:val="0"/>
  </w:style>
  <w:style w:type="character" w:customStyle="1" w:styleId="89">
    <w:name w:val="正文1"/>
    <w:qFormat/>
    <w:uiPriority w:val="0"/>
  </w:style>
  <w:style w:type="character" w:customStyle="1" w:styleId="90">
    <w:name w:val="font11"/>
    <w:qFormat/>
    <w:uiPriority w:val="0"/>
    <w:rPr>
      <w:rFonts w:hint="default" w:ascii="Times New Roman" w:hAnsi="Times New Roman" w:cs="Times New Roman"/>
      <w:color w:val="3366FF"/>
      <w:sz w:val="24"/>
      <w:szCs w:val="24"/>
      <w:u w:val="none"/>
    </w:rPr>
  </w:style>
  <w:style w:type="character" w:customStyle="1" w:styleId="91">
    <w:name w:val="font21"/>
    <w:qFormat/>
    <w:uiPriority w:val="0"/>
    <w:rPr>
      <w:rFonts w:hint="eastAsia" w:ascii="宋体" w:hAnsi="宋体" w:eastAsia="宋体"/>
      <w:color w:val="3366FF"/>
      <w:sz w:val="24"/>
      <w:szCs w:val="24"/>
      <w:u w:val="none"/>
    </w:rPr>
  </w:style>
  <w:style w:type="paragraph" w:customStyle="1" w:styleId="92">
    <w:name w:val="Char Char15"/>
    <w:basedOn w:val="1"/>
    <w:qFormat/>
    <w:uiPriority w:val="0"/>
    <w:rPr>
      <w:rFonts w:ascii="Tahoma" w:hAnsi="Tahoma" w:eastAsia="仿宋_GB2312"/>
      <w:sz w:val="24"/>
    </w:rPr>
  </w:style>
  <w:style w:type="paragraph" w:customStyle="1" w:styleId="93">
    <w:name w:val="Char2"/>
    <w:basedOn w:val="1"/>
    <w:qFormat/>
    <w:uiPriority w:val="0"/>
    <w:pPr>
      <w:tabs>
        <w:tab w:val="left" w:pos="360"/>
      </w:tabs>
    </w:pPr>
    <w:rPr>
      <w:sz w:val="24"/>
      <w:szCs w:val="24"/>
    </w:rPr>
  </w:style>
  <w:style w:type="paragraph" w:customStyle="1" w:styleId="94">
    <w:name w:val="Char16"/>
    <w:basedOn w:val="1"/>
    <w:qFormat/>
    <w:uiPriority w:val="0"/>
    <w:rPr>
      <w:rFonts w:ascii="Tahoma" w:hAnsi="Tahoma" w:eastAsia="仿宋_GB2312"/>
      <w:sz w:val="24"/>
    </w:rPr>
  </w:style>
  <w:style w:type="paragraph" w:customStyle="1" w:styleId="95">
    <w:name w:val="Char Char1"/>
    <w:basedOn w:val="1"/>
    <w:qFormat/>
    <w:uiPriority w:val="0"/>
    <w:rPr>
      <w:rFonts w:ascii="Tahoma" w:hAnsi="Tahoma"/>
      <w:sz w:val="24"/>
    </w:rPr>
  </w:style>
  <w:style w:type="paragraph" w:customStyle="1" w:styleId="96">
    <w:name w:val="Char Char Char Char Char Char Char"/>
    <w:basedOn w:val="1"/>
    <w:qFormat/>
    <w:uiPriority w:val="0"/>
    <w:rPr>
      <w:szCs w:val="24"/>
    </w:rPr>
  </w:style>
  <w:style w:type="paragraph" w:customStyle="1" w:styleId="97">
    <w:name w:val="Char Char"/>
    <w:basedOn w:val="1"/>
    <w:qFormat/>
    <w:uiPriority w:val="0"/>
    <w:rPr>
      <w:rFonts w:ascii="Tahoma" w:hAnsi="Tahoma" w:cs="仿宋_GB2312"/>
      <w:sz w:val="24"/>
    </w:rPr>
  </w:style>
  <w:style w:type="paragraph" w:customStyle="1" w:styleId="98">
    <w:name w:val="Char Char2"/>
    <w:basedOn w:val="1"/>
    <w:qFormat/>
    <w:uiPriority w:val="0"/>
    <w:rPr>
      <w:rFonts w:ascii="Tahoma" w:hAnsi="Tahoma" w:cs="仿宋_GB2312"/>
      <w:sz w:val="24"/>
    </w:rPr>
  </w:style>
  <w:style w:type="paragraph" w:customStyle="1" w:styleId="99">
    <w:name w:val="Char Char Char1"/>
    <w:basedOn w:val="1"/>
    <w:qFormat/>
    <w:uiPriority w:val="0"/>
    <w:rPr>
      <w:rFonts w:ascii="Tahoma" w:hAnsi="Tahoma"/>
      <w:sz w:val="24"/>
    </w:rPr>
  </w:style>
  <w:style w:type="paragraph" w:customStyle="1" w:styleId="100">
    <w:name w:val="D&amp;L"/>
    <w:basedOn w:val="23"/>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12"/>
    <w:qFormat/>
    <w:uiPriority w:val="99"/>
    <w:rPr>
      <w:rFonts w:ascii="Calibri" w:hAnsi="Calibri" w:eastAsia="宋体" w:cs="Times New Roman"/>
      <w:sz w:val="16"/>
      <w:szCs w:val="16"/>
      <w:lang w:val="zh-CN" w:eastAsia="zh-CN"/>
    </w:rPr>
  </w:style>
  <w:style w:type="paragraph" w:customStyle="1" w:styleId="10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qFormat/>
    <w:uiPriority w:val="0"/>
    <w:rPr>
      <w:rFonts w:ascii="Times New Roman" w:hAnsi="Times New Roman" w:eastAsia="宋体"/>
    </w:rPr>
  </w:style>
  <w:style w:type="paragraph" w:customStyle="1" w:styleId="105">
    <w:name w:val="p0"/>
    <w:basedOn w:val="1"/>
    <w:qFormat/>
    <w:uiPriority w:val="0"/>
    <w:pPr>
      <w:widowControl/>
      <w:jc w:val="left"/>
    </w:pPr>
    <w:rPr>
      <w:rFonts w:ascii="等线" w:hAnsi="等线" w:eastAsia="等线" w:cs="等线"/>
      <w:kern w:val="0"/>
      <w:sz w:val="20"/>
      <w:szCs w:val="22"/>
    </w:rPr>
  </w:style>
  <w:style w:type="paragraph" w:customStyle="1" w:styleId="106">
    <w:name w:val="列表段落1"/>
    <w:basedOn w:val="1"/>
    <w:qFormat/>
    <w:uiPriority w:val="34"/>
    <w:pPr>
      <w:ind w:firstLine="420" w:firstLineChars="200"/>
    </w:pPr>
    <w:rPr>
      <w:szCs w:val="24"/>
    </w:rPr>
  </w:style>
  <w:style w:type="paragraph" w:customStyle="1" w:styleId="107">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qFormat/>
    <w:uiPriority w:val="99"/>
    <w:pPr>
      <w:ind w:firstLine="420" w:firstLineChars="200"/>
    </w:pPr>
  </w:style>
  <w:style w:type="table" w:customStyle="1" w:styleId="10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qFormat/>
    <w:uiPriority w:val="0"/>
  </w:style>
  <w:style w:type="character" w:customStyle="1" w:styleId="111">
    <w:name w:val="layui-this"/>
    <w:basedOn w:val="39"/>
    <w:qFormat/>
    <w:uiPriority w:val="0"/>
    <w:rPr>
      <w:bdr w:val="single" w:color="EEEEEE" w:sz="4" w:space="0"/>
      <w:shd w:val="clear" w:color="auto" w:fill="FFFFFF"/>
    </w:rPr>
  </w:style>
  <w:style w:type="character" w:customStyle="1" w:styleId="112">
    <w:name w:val="first-child2"/>
    <w:basedOn w:val="39"/>
    <w:qFormat/>
    <w:uiPriority w:val="0"/>
  </w:style>
  <w:style w:type="character" w:customStyle="1" w:styleId="113">
    <w:name w:val="first-child"/>
    <w:basedOn w:val="39"/>
    <w:qFormat/>
    <w:uiPriority w:val="0"/>
  </w:style>
  <w:style w:type="character" w:customStyle="1" w:styleId="114">
    <w:name w:val="first-child1"/>
    <w:basedOn w:val="39"/>
    <w:qFormat/>
    <w:uiPriority w:val="0"/>
  </w:style>
  <w:style w:type="paragraph" w:customStyle="1" w:styleId="115">
    <w:name w:val="Table Paragraph"/>
    <w:basedOn w:val="1"/>
    <w:qFormat/>
    <w:uiPriority w:val="99"/>
    <w:pPr>
      <w:jc w:val="left"/>
    </w:pPr>
    <w:rPr>
      <w:rFonts w:ascii="宋体" w:hAnsi="宋体" w:cs="宋体"/>
      <w:kern w:val="0"/>
      <w:sz w:val="22"/>
      <w:szCs w:val="22"/>
      <w:lang w:eastAsia="en-US"/>
    </w:rPr>
  </w:style>
  <w:style w:type="character" w:customStyle="1" w:styleId="116">
    <w:name w:val="标题 2 字符"/>
    <w:link w:val="6"/>
    <w:qFormat/>
    <w:uiPriority w:val="0"/>
    <w:rPr>
      <w:rFonts w:ascii="Arial" w:hAnsi="Arial" w:eastAsia="黑体"/>
      <w:b/>
      <w:bCs/>
      <w:sz w:val="32"/>
      <w:szCs w:val="32"/>
    </w:rPr>
  </w:style>
  <w:style w:type="character" w:customStyle="1" w:styleId="117">
    <w:name w:val="place"/>
    <w:basedOn w:val="39"/>
    <w:qFormat/>
    <w:uiPriority w:val="0"/>
  </w:style>
  <w:style w:type="character" w:customStyle="1" w:styleId="118">
    <w:name w:val="place1"/>
    <w:basedOn w:val="39"/>
    <w:qFormat/>
    <w:uiPriority w:val="0"/>
  </w:style>
  <w:style w:type="character" w:customStyle="1" w:styleId="119">
    <w:name w:val="place2"/>
    <w:basedOn w:val="39"/>
    <w:qFormat/>
    <w:uiPriority w:val="0"/>
    <w:rPr>
      <w:rFonts w:ascii="微软雅黑" w:hAnsi="微软雅黑" w:eastAsia="微软雅黑" w:cs="微软雅黑"/>
      <w:color w:val="888888"/>
      <w:sz w:val="20"/>
      <w:szCs w:val="20"/>
    </w:rPr>
  </w:style>
  <w:style w:type="character" w:customStyle="1" w:styleId="120">
    <w:name w:val="place3"/>
    <w:basedOn w:val="39"/>
    <w:qFormat/>
    <w:uiPriority w:val="0"/>
  </w:style>
  <w:style w:type="character" w:customStyle="1" w:styleId="121">
    <w:name w:val="font"/>
    <w:basedOn w:val="39"/>
    <w:qFormat/>
    <w:uiPriority w:val="0"/>
  </w:style>
  <w:style w:type="character" w:customStyle="1" w:styleId="122">
    <w:name w:val="font1"/>
    <w:basedOn w:val="39"/>
    <w:qFormat/>
    <w:uiPriority w:val="0"/>
  </w:style>
  <w:style w:type="character" w:customStyle="1" w:styleId="123">
    <w:name w:val="gwds_nopic"/>
    <w:basedOn w:val="39"/>
    <w:qFormat/>
    <w:uiPriority w:val="0"/>
  </w:style>
  <w:style w:type="character" w:customStyle="1" w:styleId="124">
    <w:name w:val="gwds_nopic1"/>
    <w:basedOn w:val="39"/>
    <w:qFormat/>
    <w:uiPriority w:val="0"/>
  </w:style>
  <w:style w:type="character" w:customStyle="1" w:styleId="125">
    <w:name w:val="gwds_nopic2"/>
    <w:basedOn w:val="39"/>
    <w:qFormat/>
    <w:uiPriority w:val="0"/>
  </w:style>
  <w:style w:type="character" w:customStyle="1" w:styleId="126">
    <w:name w:val="noline"/>
    <w:basedOn w:val="39"/>
    <w:qFormat/>
    <w:uiPriority w:val="0"/>
  </w:style>
  <w:style w:type="character" w:customStyle="1" w:styleId="127">
    <w:name w:val="hover17"/>
    <w:basedOn w:val="39"/>
    <w:qFormat/>
    <w:uiPriority w:val="0"/>
    <w:rPr>
      <w:color w:val="025291"/>
    </w:rPr>
  </w:style>
  <w:style w:type="character" w:customStyle="1" w:styleId="128">
    <w:name w:val="Unresolved Mention"/>
    <w:basedOn w:val="39"/>
    <w:semiHidden/>
    <w:unhideWhenUsed/>
    <w:qFormat/>
    <w:uiPriority w:val="99"/>
    <w:rPr>
      <w:color w:val="605E5C"/>
      <w:shd w:val="clear" w:color="auto" w:fill="E1DFDD"/>
    </w:rPr>
  </w:style>
  <w:style w:type="character" w:customStyle="1" w:styleId="129">
    <w:name w:val="NormalCharacter"/>
    <w:link w:val="1"/>
    <w:qFormat/>
    <w:uiPriority w:val="0"/>
    <w:rPr>
      <w:rFonts w:ascii="Times New Roman" w:hAnsi="Times New Roman" w:eastAsia="宋体" w:cs="Times New Roman"/>
      <w:kern w:val="2"/>
      <w:sz w:val="21"/>
      <w:lang w:val="en-US" w:eastAsia="zh-CN" w:bidi="ar-SA"/>
    </w:rPr>
  </w:style>
  <w:style w:type="character" w:customStyle="1" w:styleId="130">
    <w:name w:val="hover1"/>
    <w:basedOn w:val="39"/>
    <w:qFormat/>
    <w:uiPriority w:val="0"/>
    <w:rPr>
      <w:color w:val="2590EB"/>
      <w:shd w:val="clear" w:fill="E9F4FD"/>
    </w:rPr>
  </w:style>
  <w:style w:type="character" w:customStyle="1" w:styleId="131">
    <w:name w:val="hover2"/>
    <w:basedOn w:val="39"/>
    <w:qFormat/>
    <w:uiPriority w:val="0"/>
    <w:rPr>
      <w:color w:val="2590EB"/>
    </w:rPr>
  </w:style>
  <w:style w:type="character" w:customStyle="1" w:styleId="132">
    <w:name w:val="hover3"/>
    <w:basedOn w:val="39"/>
    <w:qFormat/>
    <w:uiPriority w:val="0"/>
    <w:rPr>
      <w:color w:val="2590EB"/>
    </w:rPr>
  </w:style>
  <w:style w:type="character" w:customStyle="1" w:styleId="133">
    <w:name w:val="hover4"/>
    <w:basedOn w:val="39"/>
    <w:qFormat/>
    <w:uiPriority w:val="0"/>
  </w:style>
  <w:style w:type="character" w:customStyle="1" w:styleId="134">
    <w:name w:val="hover"/>
    <w:basedOn w:val="39"/>
    <w:qFormat/>
    <w:uiPriority w:val="0"/>
  </w:style>
  <w:style w:type="paragraph" w:customStyle="1" w:styleId="135">
    <w:name w:val="WPSOffice手动目录 1"/>
    <w:qFormat/>
    <w:uiPriority w:val="0"/>
    <w:pPr>
      <w:ind w:leftChars="0"/>
    </w:pPr>
    <w:rPr>
      <w:rFonts w:ascii="Times New Roman" w:hAnsi="Times New Roman" w:eastAsia="宋体" w:cs="Times New Roman"/>
      <w:sz w:val="20"/>
      <w:szCs w:val="20"/>
    </w:rPr>
  </w:style>
  <w:style w:type="paragraph" w:customStyle="1" w:styleId="136">
    <w:name w:val="TOC1"/>
    <w:basedOn w:val="1"/>
    <w:next w:val="1"/>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12111</Words>
  <Characters>12726</Characters>
  <Lines>294</Lines>
  <Paragraphs>82</Paragraphs>
  <TotalTime>192</TotalTime>
  <ScaleCrop>false</ScaleCrop>
  <LinksUpToDate>false</LinksUpToDate>
  <CharactersWithSpaces>14135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淤青</cp:lastModifiedBy>
  <cp:lastPrinted>2023-11-03T03:12:00Z</cp:lastPrinted>
  <dcterms:modified xsi:type="dcterms:W3CDTF">2023-11-27T08:55:24Z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070D34E01EAB476490548C0374BE8380_13</vt:lpwstr>
  </property>
</Properties>
</file>